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471" w14:textId="77777777" w:rsidR="009C73A9" w:rsidRPr="00A42C2F" w:rsidRDefault="009C73A9" w:rsidP="009C73A9">
      <w:pPr>
        <w:jc w:val="center"/>
        <w:rPr>
          <w:sz w:val="24"/>
          <w:szCs w:val="24"/>
          <w:lang w:val="en-CA"/>
        </w:rPr>
      </w:pPr>
    </w:p>
    <w:p w14:paraId="0B054404" w14:textId="77777777" w:rsidR="009C73A9" w:rsidRPr="00A42C2F" w:rsidRDefault="009C73A9" w:rsidP="009C73A9">
      <w:pPr>
        <w:jc w:val="center"/>
        <w:rPr>
          <w:sz w:val="24"/>
          <w:szCs w:val="24"/>
          <w:lang w:val="en-CA"/>
        </w:rPr>
      </w:pPr>
    </w:p>
    <w:p w14:paraId="640F136F" w14:textId="77777777" w:rsidR="009C73A9" w:rsidRPr="00A42C2F" w:rsidRDefault="009C73A9" w:rsidP="009C73A9">
      <w:pPr>
        <w:jc w:val="center"/>
        <w:rPr>
          <w:sz w:val="24"/>
          <w:szCs w:val="24"/>
          <w:lang w:val="en-CA"/>
        </w:rPr>
      </w:pPr>
    </w:p>
    <w:p w14:paraId="31697C31" w14:textId="77777777" w:rsidR="009C73A9" w:rsidRPr="00A42C2F" w:rsidRDefault="009C73A9" w:rsidP="009C73A9">
      <w:pPr>
        <w:jc w:val="center"/>
        <w:rPr>
          <w:sz w:val="24"/>
          <w:szCs w:val="24"/>
          <w:lang w:val="en-CA"/>
        </w:rPr>
      </w:pPr>
    </w:p>
    <w:p w14:paraId="36CE28BC" w14:textId="77777777" w:rsidR="009C73A9" w:rsidRPr="00A42C2F" w:rsidRDefault="009C73A9" w:rsidP="009C73A9">
      <w:pPr>
        <w:jc w:val="center"/>
        <w:rPr>
          <w:sz w:val="24"/>
          <w:szCs w:val="24"/>
          <w:lang w:val="en-CA"/>
        </w:rPr>
      </w:pPr>
    </w:p>
    <w:p w14:paraId="1DFD9256" w14:textId="77777777" w:rsidR="009C73A9" w:rsidRPr="00A42C2F" w:rsidRDefault="009C73A9" w:rsidP="009C73A9">
      <w:pPr>
        <w:jc w:val="center"/>
        <w:rPr>
          <w:sz w:val="24"/>
          <w:szCs w:val="24"/>
          <w:lang w:val="en-CA"/>
        </w:rPr>
      </w:pPr>
    </w:p>
    <w:p w14:paraId="6E5D273B" w14:textId="77777777" w:rsidR="009C73A9" w:rsidRPr="00A42C2F" w:rsidRDefault="009C73A9" w:rsidP="006C6A98">
      <w:pPr>
        <w:rPr>
          <w:sz w:val="24"/>
          <w:szCs w:val="24"/>
          <w:lang w:val="en-CA"/>
        </w:rPr>
      </w:pPr>
    </w:p>
    <w:p w14:paraId="06B6E5A4" w14:textId="77777777" w:rsidR="009C73A9" w:rsidRPr="00A42C2F" w:rsidRDefault="009C73A9" w:rsidP="009C73A9">
      <w:pPr>
        <w:jc w:val="center"/>
        <w:rPr>
          <w:sz w:val="24"/>
          <w:szCs w:val="24"/>
          <w:lang w:val="en-CA"/>
        </w:rPr>
      </w:pPr>
    </w:p>
    <w:p w14:paraId="31948AF0" w14:textId="77777777" w:rsidR="009C73A9" w:rsidRPr="00A42C2F" w:rsidRDefault="009C73A9" w:rsidP="009C73A9">
      <w:pPr>
        <w:jc w:val="center"/>
        <w:rPr>
          <w:sz w:val="24"/>
          <w:szCs w:val="24"/>
          <w:lang w:val="en-CA"/>
        </w:rPr>
      </w:pPr>
    </w:p>
    <w:p w14:paraId="2AA2E22B" w14:textId="77777777" w:rsidR="009C73A9" w:rsidRPr="00A42C2F" w:rsidRDefault="009C73A9" w:rsidP="009C73A9">
      <w:pPr>
        <w:jc w:val="center"/>
        <w:rPr>
          <w:sz w:val="24"/>
          <w:szCs w:val="24"/>
          <w:lang w:val="en-CA"/>
        </w:rPr>
      </w:pPr>
    </w:p>
    <w:p w14:paraId="45CB6250" w14:textId="77777777" w:rsidR="009C73A9" w:rsidRPr="00A42C2F" w:rsidRDefault="009C73A9" w:rsidP="009C73A9">
      <w:pPr>
        <w:jc w:val="center"/>
        <w:rPr>
          <w:sz w:val="24"/>
          <w:szCs w:val="24"/>
          <w:lang w:val="en-CA"/>
        </w:rPr>
      </w:pPr>
    </w:p>
    <w:p w14:paraId="268776F9" w14:textId="77777777" w:rsidR="009C73A9" w:rsidRPr="00A42C2F" w:rsidRDefault="009C73A9" w:rsidP="009C73A9">
      <w:pPr>
        <w:jc w:val="center"/>
        <w:rPr>
          <w:sz w:val="24"/>
          <w:szCs w:val="24"/>
          <w:lang w:val="en-CA"/>
        </w:rPr>
      </w:pPr>
    </w:p>
    <w:p w14:paraId="35EBF51E" w14:textId="77777777" w:rsidR="009C73A9" w:rsidRPr="00A42C2F" w:rsidRDefault="009C73A9" w:rsidP="009C73A9">
      <w:pPr>
        <w:jc w:val="center"/>
        <w:rPr>
          <w:sz w:val="24"/>
          <w:szCs w:val="24"/>
          <w:lang w:val="en-CA"/>
        </w:rPr>
      </w:pPr>
    </w:p>
    <w:p w14:paraId="38273E64" w14:textId="2E6BB622" w:rsidR="009C73A9" w:rsidRDefault="009C73A9" w:rsidP="009C73A9">
      <w:pPr>
        <w:jc w:val="center"/>
        <w:rPr>
          <w:sz w:val="24"/>
          <w:szCs w:val="24"/>
          <w:lang w:val="en-CA"/>
        </w:rPr>
      </w:pPr>
    </w:p>
    <w:p w14:paraId="7536FD15" w14:textId="5997FA73" w:rsidR="00342DCA" w:rsidRDefault="00342DCA" w:rsidP="009C73A9">
      <w:pPr>
        <w:jc w:val="center"/>
        <w:rPr>
          <w:sz w:val="24"/>
          <w:szCs w:val="24"/>
          <w:lang w:val="en-CA"/>
        </w:rPr>
      </w:pPr>
    </w:p>
    <w:p w14:paraId="366FF64E" w14:textId="0048D0BA" w:rsidR="00342DCA" w:rsidRDefault="00342DCA" w:rsidP="009C73A9">
      <w:pPr>
        <w:jc w:val="center"/>
        <w:rPr>
          <w:sz w:val="24"/>
          <w:szCs w:val="24"/>
          <w:lang w:val="en-CA"/>
        </w:rPr>
      </w:pPr>
    </w:p>
    <w:p w14:paraId="047C2081" w14:textId="77777777" w:rsidR="00342DCA" w:rsidRPr="00A42C2F" w:rsidRDefault="00342DCA" w:rsidP="009C73A9">
      <w:pPr>
        <w:jc w:val="center"/>
        <w:rPr>
          <w:sz w:val="24"/>
          <w:szCs w:val="24"/>
          <w:lang w:val="en-CA"/>
        </w:rPr>
      </w:pPr>
    </w:p>
    <w:p w14:paraId="54914889" w14:textId="77777777" w:rsidR="009C73A9" w:rsidRPr="00A42C2F" w:rsidRDefault="009C73A9" w:rsidP="00686051">
      <w:pPr>
        <w:rPr>
          <w:sz w:val="24"/>
          <w:szCs w:val="24"/>
          <w:lang w:val="en-CA"/>
        </w:rPr>
      </w:pPr>
    </w:p>
    <w:p w14:paraId="6498912D" w14:textId="77777777" w:rsidR="009C73A9" w:rsidRPr="0066498C" w:rsidRDefault="009C73A9" w:rsidP="009C73A9">
      <w:pPr>
        <w:jc w:val="center"/>
        <w:rPr>
          <w:sz w:val="24"/>
          <w:szCs w:val="24"/>
          <w:lang w:val="en-CA"/>
        </w:rPr>
      </w:pPr>
    </w:p>
    <w:p w14:paraId="4C064A48" w14:textId="77777777" w:rsidR="009C73A9" w:rsidRPr="0066498C" w:rsidRDefault="009C73A9" w:rsidP="009C73A9">
      <w:pPr>
        <w:jc w:val="center"/>
        <w:rPr>
          <w:rFonts w:ascii="Bookman Old Style" w:hAnsi="Bookman Old Style"/>
          <w:sz w:val="24"/>
          <w:szCs w:val="24"/>
        </w:rPr>
      </w:pPr>
      <w:r w:rsidRPr="0066498C">
        <w:rPr>
          <w:rFonts w:ascii="Bookman Old Style" w:hAnsi="Bookman Old Style"/>
          <w:sz w:val="24"/>
          <w:szCs w:val="24"/>
          <w:lang w:val="en-CA"/>
        </w:rPr>
        <w:fldChar w:fldCharType="begin"/>
      </w:r>
      <w:r w:rsidRPr="0066498C">
        <w:rPr>
          <w:rFonts w:ascii="Bookman Old Style" w:hAnsi="Bookman Old Style"/>
          <w:sz w:val="24"/>
          <w:szCs w:val="24"/>
          <w:lang w:val="en-CA"/>
        </w:rPr>
        <w:instrText xml:space="preserve"> SEQ CHAPTER \h \r 1</w:instrText>
      </w:r>
      <w:r w:rsidRPr="0066498C">
        <w:rPr>
          <w:rFonts w:ascii="Bookman Old Style" w:hAnsi="Bookman Old Style"/>
          <w:sz w:val="24"/>
          <w:szCs w:val="24"/>
          <w:lang w:val="en-CA"/>
        </w:rPr>
        <w:fldChar w:fldCharType="end"/>
      </w:r>
      <w:r w:rsidRPr="0066498C">
        <w:rPr>
          <w:rFonts w:ascii="Bookman Old Style" w:hAnsi="Bookman Old Style"/>
          <w:sz w:val="24"/>
          <w:szCs w:val="24"/>
        </w:rPr>
        <w:t>UNITED STATES BANKRUPTCY COURT</w:t>
      </w:r>
    </w:p>
    <w:p w14:paraId="285C8B51" w14:textId="77777777" w:rsidR="009C73A9" w:rsidRPr="0066498C" w:rsidRDefault="009C73A9" w:rsidP="009C73A9">
      <w:pPr>
        <w:jc w:val="center"/>
        <w:rPr>
          <w:rFonts w:ascii="Bookman Old Style" w:hAnsi="Bookman Old Style"/>
          <w:sz w:val="24"/>
          <w:szCs w:val="24"/>
        </w:rPr>
      </w:pPr>
      <w:r w:rsidRPr="0066498C">
        <w:rPr>
          <w:rFonts w:ascii="Bookman Old Style" w:hAnsi="Bookman Old Style"/>
          <w:sz w:val="24"/>
          <w:szCs w:val="24"/>
        </w:rPr>
        <w:t>SOUTHERN DISTRICT OF FLORIDA</w:t>
      </w:r>
    </w:p>
    <w:p w14:paraId="7AACEDFA" w14:textId="3885066A" w:rsidR="00536D88" w:rsidRPr="0066498C" w:rsidRDefault="00D864D3" w:rsidP="006C6A98">
      <w:pPr>
        <w:jc w:val="center"/>
        <w:rPr>
          <w:rFonts w:ascii="Bookman Old Style" w:hAnsi="Bookman Old Style"/>
          <w:sz w:val="24"/>
          <w:szCs w:val="24"/>
        </w:rPr>
      </w:pPr>
      <w:r w:rsidRPr="0066498C">
        <w:rPr>
          <w:rFonts w:ascii="Bookman Old Style" w:hAnsi="Bookman Old Style"/>
          <w:sz w:val="24"/>
          <w:szCs w:val="24"/>
        </w:rPr>
        <w:t>MIAMI</w:t>
      </w:r>
      <w:r w:rsidR="005A442F" w:rsidRPr="0066498C">
        <w:rPr>
          <w:rFonts w:ascii="Bookman Old Style" w:hAnsi="Bookman Old Style"/>
          <w:sz w:val="24"/>
          <w:szCs w:val="24"/>
        </w:rPr>
        <w:t xml:space="preserve"> DIVISION</w:t>
      </w:r>
    </w:p>
    <w:p w14:paraId="4BC3138B" w14:textId="1E36686F" w:rsidR="009C73A9" w:rsidRPr="0066498C" w:rsidRDefault="00AD28CB" w:rsidP="009C73A9">
      <w:pPr>
        <w:tabs>
          <w:tab w:val="left" w:pos="720"/>
          <w:tab w:val="left" w:pos="1440"/>
          <w:tab w:val="left" w:pos="2160"/>
          <w:tab w:val="left" w:pos="2880"/>
          <w:tab w:val="left" w:pos="3600"/>
          <w:tab w:val="left" w:pos="4320"/>
          <w:tab w:val="left" w:pos="5040"/>
          <w:tab w:val="left" w:pos="5760"/>
        </w:tabs>
        <w:ind w:left="5760" w:hanging="5760"/>
        <w:rPr>
          <w:rFonts w:ascii="Bookman Old Style" w:hAnsi="Bookman Old Style"/>
          <w:sz w:val="24"/>
          <w:szCs w:val="24"/>
        </w:rPr>
      </w:pPr>
      <w:r w:rsidRPr="0066498C">
        <w:rPr>
          <w:rFonts w:ascii="Bookman Old Style" w:hAnsi="Bookman Old Style"/>
          <w:sz w:val="24"/>
          <w:szCs w:val="24"/>
        </w:rPr>
        <w:t>IN RE</w:t>
      </w:r>
      <w:r w:rsidR="009C73A9" w:rsidRPr="0066498C">
        <w:rPr>
          <w:rFonts w:ascii="Bookman Old Style" w:hAnsi="Bookman Old Style"/>
          <w:sz w:val="24"/>
          <w:szCs w:val="24"/>
        </w:rPr>
        <w:t xml:space="preserve">: </w:t>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t xml:space="preserve"> </w:t>
      </w:r>
    </w:p>
    <w:p w14:paraId="15D1A0A7" w14:textId="77777777" w:rsidR="009C73A9" w:rsidRPr="0066498C" w:rsidRDefault="009C73A9" w:rsidP="009C73A9">
      <w:pPr>
        <w:rPr>
          <w:rFonts w:ascii="Bookman Old Style" w:hAnsi="Bookman Old Style"/>
          <w:sz w:val="24"/>
          <w:szCs w:val="24"/>
        </w:rPr>
      </w:pPr>
    </w:p>
    <w:p w14:paraId="5D424BB6" w14:textId="4C9D5FE0" w:rsidR="00F12CBE" w:rsidRPr="0066498C" w:rsidRDefault="00E20BFC" w:rsidP="009C73A9">
      <w:pPr>
        <w:rPr>
          <w:rFonts w:ascii="Bookman Old Style" w:hAnsi="Bookman Old Style"/>
          <w:sz w:val="24"/>
          <w:szCs w:val="24"/>
        </w:rPr>
      </w:pPr>
      <w:r w:rsidRPr="0066498C">
        <w:rPr>
          <w:rFonts w:ascii="Bookman Old Style" w:hAnsi="Bookman Old Style"/>
          <w:sz w:val="24"/>
          <w:szCs w:val="24"/>
          <w:highlight w:val="yellow"/>
        </w:rPr>
        <w:t>________________________,</w:t>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AD28CB" w:rsidRPr="0066498C">
        <w:rPr>
          <w:rFonts w:ascii="Bookman Old Style" w:hAnsi="Bookman Old Style"/>
          <w:sz w:val="24"/>
          <w:szCs w:val="24"/>
        </w:rPr>
        <w:t>CASE NO</w:t>
      </w:r>
      <w:r w:rsidR="00B443EE" w:rsidRPr="0066498C">
        <w:rPr>
          <w:rFonts w:ascii="Bookman Old Style" w:hAnsi="Bookman Old Style"/>
          <w:sz w:val="24"/>
          <w:szCs w:val="24"/>
        </w:rPr>
        <w:t xml:space="preserve">. </w:t>
      </w:r>
      <w:r w:rsidRPr="0066498C">
        <w:rPr>
          <w:rFonts w:ascii="Bookman Old Style" w:hAnsi="Bookman Old Style"/>
          <w:sz w:val="24"/>
          <w:szCs w:val="24"/>
          <w:highlight w:val="yellow"/>
        </w:rPr>
        <w:t>_________</w:t>
      </w:r>
      <w:r w:rsidR="00B443EE" w:rsidRPr="0066498C">
        <w:rPr>
          <w:rFonts w:ascii="Bookman Old Style" w:hAnsi="Bookman Old Style"/>
          <w:sz w:val="24"/>
          <w:szCs w:val="24"/>
          <w:highlight w:val="yellow"/>
        </w:rPr>
        <w:t>-</w:t>
      </w:r>
      <w:r w:rsidR="00D864D3" w:rsidRPr="0066498C">
        <w:rPr>
          <w:rFonts w:ascii="Bookman Old Style" w:hAnsi="Bookman Old Style"/>
          <w:sz w:val="24"/>
          <w:szCs w:val="24"/>
        </w:rPr>
        <w:t>LMI</w:t>
      </w:r>
    </w:p>
    <w:p w14:paraId="260CE263" w14:textId="44156473" w:rsidR="009C73A9" w:rsidRPr="0066498C" w:rsidRDefault="00E20BFC" w:rsidP="009C73A9">
      <w:pPr>
        <w:rPr>
          <w:rFonts w:ascii="Bookman Old Style" w:hAnsi="Bookman Old Style"/>
          <w:sz w:val="24"/>
          <w:szCs w:val="24"/>
        </w:rPr>
      </w:pPr>
      <w:r w:rsidRPr="0066498C">
        <w:rPr>
          <w:rFonts w:ascii="Bookman Old Style" w:hAnsi="Bookman Old Style"/>
          <w:sz w:val="24"/>
          <w:szCs w:val="24"/>
        </w:rPr>
        <w:t xml:space="preserve"> </w:t>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0070206B" w:rsidRPr="0066498C">
        <w:rPr>
          <w:rFonts w:ascii="Bookman Old Style" w:hAnsi="Bookman Old Style"/>
          <w:sz w:val="24"/>
          <w:szCs w:val="24"/>
        </w:rPr>
        <w:tab/>
      </w:r>
      <w:r w:rsidR="0070206B"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t xml:space="preserve">Chapter </w:t>
      </w:r>
      <w:r w:rsidR="00A42C2F" w:rsidRPr="0066498C">
        <w:rPr>
          <w:rFonts w:ascii="Bookman Old Style" w:hAnsi="Bookman Old Style"/>
          <w:sz w:val="24"/>
          <w:szCs w:val="24"/>
          <w:highlight w:val="yellow"/>
        </w:rPr>
        <w:t>___</w:t>
      </w:r>
    </w:p>
    <w:p w14:paraId="5755C0E3" w14:textId="77777777" w:rsidR="009C73A9" w:rsidRPr="0066498C" w:rsidRDefault="009C73A9" w:rsidP="009C73A9">
      <w:pPr>
        <w:rPr>
          <w:rFonts w:ascii="Bookman Old Style" w:hAnsi="Bookman Old Style"/>
          <w:sz w:val="24"/>
          <w:szCs w:val="24"/>
        </w:rPr>
      </w:pPr>
    </w:p>
    <w:p w14:paraId="0FD5A4E7" w14:textId="26ED5A97" w:rsidR="009C73A9" w:rsidRPr="0066498C" w:rsidRDefault="009C73A9" w:rsidP="009C73A9">
      <w:pPr>
        <w:rPr>
          <w:rFonts w:ascii="Bookman Old Style" w:hAnsi="Bookman Old Style"/>
          <w:sz w:val="24"/>
          <w:szCs w:val="24"/>
        </w:rPr>
      </w:pPr>
      <w:r w:rsidRPr="0066498C">
        <w:rPr>
          <w:rFonts w:ascii="Bookman Old Style" w:hAnsi="Bookman Old Style"/>
          <w:sz w:val="24"/>
          <w:szCs w:val="24"/>
        </w:rPr>
        <w:tab/>
        <w:t>Debtor.</w:t>
      </w:r>
    </w:p>
    <w:p w14:paraId="5A9280A2" w14:textId="77777777" w:rsidR="006C6A98" w:rsidRPr="0066498C" w:rsidRDefault="009C73A9" w:rsidP="009C73A9">
      <w:pPr>
        <w:rPr>
          <w:rFonts w:ascii="Bookman Old Style" w:hAnsi="Bookman Old Style"/>
          <w:sz w:val="24"/>
          <w:szCs w:val="24"/>
        </w:rPr>
      </w:pPr>
      <w:r w:rsidRPr="0066498C">
        <w:rPr>
          <w:rFonts w:ascii="Bookman Old Style" w:hAnsi="Bookman Old Style"/>
          <w:sz w:val="24"/>
          <w:szCs w:val="24"/>
        </w:rPr>
        <w:t>______________________________/</w:t>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p>
    <w:p w14:paraId="04D3D480" w14:textId="7CE79029" w:rsidR="009C73A9" w:rsidRPr="004F2CCB" w:rsidRDefault="009C73A9" w:rsidP="009C73A9">
      <w:pPr>
        <w:rPr>
          <w:rFonts w:ascii="Bookman Old Style" w:hAnsi="Bookman Old Style"/>
          <w:sz w:val="24"/>
          <w:szCs w:val="24"/>
        </w:rPr>
      </w:pPr>
      <w:r w:rsidRPr="004F2CCB">
        <w:rPr>
          <w:rFonts w:ascii="Bookman Old Style" w:hAnsi="Bookman Old Style"/>
          <w:b/>
          <w:bCs/>
          <w:sz w:val="24"/>
          <w:szCs w:val="24"/>
        </w:rPr>
        <w:tab/>
      </w:r>
      <w:r w:rsidRPr="004F2CCB">
        <w:rPr>
          <w:rFonts w:ascii="Bookman Old Style" w:hAnsi="Bookman Old Style"/>
          <w:b/>
          <w:bCs/>
          <w:sz w:val="24"/>
          <w:szCs w:val="24"/>
        </w:rPr>
        <w:tab/>
      </w:r>
    </w:p>
    <w:p w14:paraId="6B57EE9C" w14:textId="77777777" w:rsidR="00D177C7" w:rsidRPr="004F2CCB" w:rsidRDefault="009C73A9" w:rsidP="00A42C2F">
      <w:pPr>
        <w:spacing w:before="120"/>
        <w:contextualSpacing/>
        <w:jc w:val="center"/>
        <w:rPr>
          <w:rFonts w:ascii="Bookman Old Style" w:hAnsi="Bookman Old Style"/>
          <w:b/>
          <w:bCs/>
          <w:sz w:val="24"/>
          <w:szCs w:val="24"/>
        </w:rPr>
      </w:pPr>
      <w:r w:rsidRPr="004F2CCB">
        <w:rPr>
          <w:rFonts w:ascii="Bookman Old Style" w:hAnsi="Bookman Old Style"/>
          <w:b/>
          <w:bCs/>
          <w:sz w:val="24"/>
          <w:szCs w:val="24"/>
        </w:rPr>
        <w:t>ORDER SETTING</w:t>
      </w:r>
      <w:r w:rsidR="00BD15BB" w:rsidRPr="004F2CCB">
        <w:rPr>
          <w:rFonts w:ascii="Bookman Old Style" w:hAnsi="Bookman Old Style"/>
          <w:b/>
          <w:bCs/>
          <w:sz w:val="24"/>
          <w:szCs w:val="24"/>
        </w:rPr>
        <w:t xml:space="preserve"> </w:t>
      </w:r>
      <w:r w:rsidR="00C77B19" w:rsidRPr="004F2CCB">
        <w:rPr>
          <w:rFonts w:ascii="Bookman Old Style" w:hAnsi="Bookman Old Style"/>
          <w:b/>
          <w:bCs/>
          <w:sz w:val="24"/>
          <w:szCs w:val="24"/>
        </w:rPr>
        <w:t xml:space="preserve">REQUIREMENTS FOR </w:t>
      </w:r>
      <w:r w:rsidR="0084078C" w:rsidRPr="004F2CCB">
        <w:rPr>
          <w:rFonts w:ascii="Bookman Old Style" w:hAnsi="Bookman Old Style"/>
          <w:b/>
          <w:bCs/>
          <w:sz w:val="24"/>
          <w:szCs w:val="24"/>
        </w:rPr>
        <w:t xml:space="preserve">EVIDENTIARY </w:t>
      </w:r>
      <w:r w:rsidR="0070206B" w:rsidRPr="004F2CCB">
        <w:rPr>
          <w:rFonts w:ascii="Bookman Old Style" w:hAnsi="Bookman Old Style"/>
          <w:b/>
          <w:bCs/>
          <w:sz w:val="24"/>
          <w:szCs w:val="24"/>
        </w:rPr>
        <w:t>HEARING</w:t>
      </w:r>
      <w:r w:rsidR="00536D88" w:rsidRPr="004F2CCB">
        <w:rPr>
          <w:rFonts w:ascii="Bookman Old Style" w:hAnsi="Bookman Old Style"/>
          <w:b/>
          <w:bCs/>
          <w:sz w:val="24"/>
          <w:szCs w:val="24"/>
        </w:rPr>
        <w:t xml:space="preserve"> </w:t>
      </w:r>
    </w:p>
    <w:p w14:paraId="0875F6DA" w14:textId="59C42AE6" w:rsidR="009C73A9" w:rsidRPr="004F2CCB" w:rsidRDefault="00536D88" w:rsidP="00A42C2F">
      <w:pPr>
        <w:spacing w:before="120"/>
        <w:contextualSpacing/>
        <w:jc w:val="center"/>
        <w:rPr>
          <w:rFonts w:ascii="Bookman Old Style" w:hAnsi="Bookman Old Style"/>
          <w:b/>
          <w:bCs/>
          <w:sz w:val="24"/>
          <w:szCs w:val="24"/>
        </w:rPr>
      </w:pPr>
      <w:r w:rsidRPr="004F2CCB">
        <w:rPr>
          <w:rFonts w:ascii="Bookman Old Style" w:hAnsi="Bookman Old Style"/>
          <w:b/>
          <w:bCs/>
          <w:sz w:val="24"/>
          <w:szCs w:val="24"/>
          <w:u w:val="single"/>
        </w:rPr>
        <w:t>AND</w:t>
      </w:r>
      <w:r w:rsidR="00C41A85" w:rsidRPr="004F2CCB">
        <w:rPr>
          <w:rFonts w:ascii="Bookman Old Style" w:hAnsi="Bookman Old Style"/>
          <w:b/>
          <w:bCs/>
          <w:sz w:val="24"/>
          <w:szCs w:val="24"/>
          <w:u w:val="single"/>
        </w:rPr>
        <w:t xml:space="preserve"> ESTABLISHING</w:t>
      </w:r>
      <w:r w:rsidRPr="004F2CCB">
        <w:rPr>
          <w:rFonts w:ascii="Bookman Old Style" w:hAnsi="Bookman Old Style"/>
          <w:b/>
          <w:bCs/>
          <w:sz w:val="24"/>
          <w:szCs w:val="24"/>
          <w:u w:val="single"/>
        </w:rPr>
        <w:t xml:space="preserve"> RELATED DEADLINES</w:t>
      </w:r>
    </w:p>
    <w:p w14:paraId="308BCAFC" w14:textId="77777777" w:rsidR="009C73A9" w:rsidRPr="004F2CCB" w:rsidRDefault="009C73A9" w:rsidP="009C73A9">
      <w:pPr>
        <w:rPr>
          <w:rFonts w:ascii="Bookman Old Style" w:hAnsi="Bookman Old Style"/>
          <w:sz w:val="24"/>
          <w:szCs w:val="24"/>
        </w:rPr>
      </w:pPr>
    </w:p>
    <w:p w14:paraId="3CD91A10" w14:textId="4D091154" w:rsidR="005D258D" w:rsidRPr="004F2CCB" w:rsidRDefault="009C73A9" w:rsidP="00153990">
      <w:pPr>
        <w:spacing w:line="480" w:lineRule="auto"/>
        <w:jc w:val="both"/>
        <w:rPr>
          <w:rFonts w:ascii="Bookman Old Style" w:hAnsi="Bookman Old Style"/>
          <w:sz w:val="24"/>
          <w:szCs w:val="24"/>
        </w:rPr>
      </w:pPr>
      <w:r w:rsidRPr="004F2CCB">
        <w:rPr>
          <w:rFonts w:ascii="Bookman Old Style" w:hAnsi="Bookman Old Style"/>
          <w:sz w:val="24"/>
          <w:szCs w:val="24"/>
        </w:rPr>
        <w:tab/>
      </w:r>
      <w:r w:rsidR="00C149BD" w:rsidRPr="004F2CCB">
        <w:rPr>
          <w:rFonts w:ascii="Bookman Old Style" w:hAnsi="Bookman Old Style"/>
          <w:b/>
          <w:bCs/>
          <w:sz w:val="24"/>
          <w:szCs w:val="24"/>
        </w:rPr>
        <w:t>THIS MATTER</w:t>
      </w:r>
      <w:r w:rsidR="00C149BD" w:rsidRPr="004F2CCB">
        <w:rPr>
          <w:rFonts w:ascii="Bookman Old Style" w:hAnsi="Bookman Old Style"/>
          <w:sz w:val="24"/>
          <w:szCs w:val="24"/>
        </w:rPr>
        <w:t xml:space="preserve"> came before the Court upon the Debtor’s [</w:t>
      </w:r>
      <w:r w:rsidR="00C149BD" w:rsidRPr="004F2CCB">
        <w:rPr>
          <w:rFonts w:ascii="Bookman Old Style" w:hAnsi="Bookman Old Style"/>
          <w:sz w:val="24"/>
          <w:szCs w:val="24"/>
          <w:highlight w:val="yellow"/>
        </w:rPr>
        <w:t>Document’s Title</w:t>
      </w:r>
      <w:r w:rsidR="00C149BD" w:rsidRPr="004F2CCB">
        <w:rPr>
          <w:rFonts w:ascii="Bookman Old Style" w:hAnsi="Bookman Old Style"/>
          <w:sz w:val="24"/>
          <w:szCs w:val="24"/>
        </w:rPr>
        <w:t>] (ECF #</w:t>
      </w:r>
      <w:r w:rsidR="00C149BD" w:rsidRPr="004F2CCB">
        <w:rPr>
          <w:rFonts w:ascii="Bookman Old Style" w:hAnsi="Bookman Old Style"/>
          <w:sz w:val="24"/>
          <w:szCs w:val="24"/>
          <w:highlight w:val="yellow"/>
        </w:rPr>
        <w:t>__</w:t>
      </w:r>
      <w:r w:rsidR="00C149BD" w:rsidRPr="004F2CCB">
        <w:rPr>
          <w:rFonts w:ascii="Bookman Old Style" w:hAnsi="Bookman Old Style"/>
          <w:sz w:val="24"/>
          <w:szCs w:val="24"/>
        </w:rPr>
        <w:t>) (the “</w:t>
      </w:r>
      <w:r w:rsidR="00C149BD" w:rsidRPr="004F2CCB">
        <w:rPr>
          <w:rFonts w:ascii="Bookman Old Style" w:hAnsi="Bookman Old Style"/>
          <w:sz w:val="24"/>
          <w:szCs w:val="24"/>
          <w:highlight w:val="yellow"/>
        </w:rPr>
        <w:t>Motion</w:t>
      </w:r>
      <w:r w:rsidR="00C149BD" w:rsidRPr="004F2CCB">
        <w:rPr>
          <w:rFonts w:ascii="Bookman Old Style" w:hAnsi="Bookman Old Style"/>
          <w:sz w:val="24"/>
          <w:szCs w:val="24"/>
        </w:rPr>
        <w:t xml:space="preserve">”) </w:t>
      </w:r>
      <w:r w:rsidR="00C149BD" w:rsidRPr="004F2CCB">
        <w:rPr>
          <w:rFonts w:ascii="Bookman Old Style" w:hAnsi="Bookman Old Style"/>
          <w:sz w:val="24"/>
          <w:szCs w:val="24"/>
          <w:highlight w:val="yellow"/>
        </w:rPr>
        <w:t>and related Response</w:t>
      </w:r>
      <w:r w:rsidR="00C149BD" w:rsidRPr="004F2CCB">
        <w:rPr>
          <w:rFonts w:ascii="Bookman Old Style" w:hAnsi="Bookman Old Style"/>
          <w:sz w:val="24"/>
          <w:szCs w:val="24"/>
        </w:rPr>
        <w:t xml:space="preserve"> (ECF #</w:t>
      </w:r>
      <w:r w:rsidR="00C149BD" w:rsidRPr="004F2CCB">
        <w:rPr>
          <w:rFonts w:ascii="Bookman Old Style" w:hAnsi="Bookman Old Style"/>
          <w:sz w:val="24"/>
          <w:szCs w:val="24"/>
          <w:highlight w:val="yellow"/>
        </w:rPr>
        <w:t>__</w:t>
      </w:r>
      <w:r w:rsidR="00C149BD" w:rsidRPr="004F2CCB">
        <w:rPr>
          <w:rFonts w:ascii="Bookman Old Style" w:hAnsi="Bookman Old Style"/>
          <w:sz w:val="24"/>
          <w:szCs w:val="24"/>
        </w:rPr>
        <w:t>) filed by [</w:t>
      </w:r>
      <w:r w:rsidR="00C149BD" w:rsidRPr="004F2CCB">
        <w:rPr>
          <w:rFonts w:ascii="Bookman Old Style" w:hAnsi="Bookman Old Style"/>
          <w:sz w:val="24"/>
          <w:szCs w:val="24"/>
          <w:highlight w:val="yellow"/>
        </w:rPr>
        <w:t>Party’s Name</w:t>
      </w:r>
      <w:r w:rsidR="00C149BD" w:rsidRPr="004F2CCB">
        <w:rPr>
          <w:rFonts w:ascii="Bookman Old Style" w:hAnsi="Bookman Old Style"/>
          <w:sz w:val="24"/>
          <w:szCs w:val="24"/>
        </w:rPr>
        <w:t>]. Counsel for the Debtor (“Movant”) and Counsel for [</w:t>
      </w:r>
      <w:r w:rsidR="00C149BD" w:rsidRPr="004F2CCB">
        <w:rPr>
          <w:rFonts w:ascii="Bookman Old Style" w:hAnsi="Bookman Old Style"/>
          <w:sz w:val="24"/>
          <w:szCs w:val="24"/>
          <w:highlight w:val="yellow"/>
        </w:rPr>
        <w:t>Party’s Name</w:t>
      </w:r>
      <w:r w:rsidR="00C149BD" w:rsidRPr="004F2CCB">
        <w:rPr>
          <w:rFonts w:ascii="Bookman Old Style" w:hAnsi="Bookman Old Style"/>
          <w:sz w:val="24"/>
          <w:szCs w:val="24"/>
        </w:rPr>
        <w:t xml:space="preserve">] (“Respondent”) have advised the Court that all parties are prepared to proceed with an evidentiary hearing. Accordingly, </w:t>
      </w:r>
      <w:r w:rsidR="00536D88" w:rsidRPr="004F2CCB">
        <w:rPr>
          <w:rFonts w:ascii="Bookman Old Style" w:hAnsi="Bookman Old Style"/>
          <w:sz w:val="24"/>
          <w:szCs w:val="24"/>
        </w:rPr>
        <w:t>the Court ORDERS as follows</w:t>
      </w:r>
      <w:r w:rsidRPr="004F2CCB">
        <w:rPr>
          <w:rFonts w:ascii="Bookman Old Style" w:hAnsi="Bookman Old Style"/>
          <w:sz w:val="24"/>
          <w:szCs w:val="24"/>
        </w:rPr>
        <w:t>:</w:t>
      </w:r>
    </w:p>
    <w:p w14:paraId="292C9445" w14:textId="77777777" w:rsidR="005D258D" w:rsidRPr="004F2CCB" w:rsidRDefault="005D258D" w:rsidP="00153990">
      <w:pPr>
        <w:ind w:left="1440" w:hanging="1080"/>
        <w:jc w:val="both"/>
        <w:rPr>
          <w:rFonts w:ascii="Bookman Old Style" w:hAnsi="Bookman Old Style"/>
          <w:sz w:val="24"/>
          <w:szCs w:val="24"/>
        </w:rPr>
      </w:pPr>
    </w:p>
    <w:p w14:paraId="1F8479AA" w14:textId="16F24999" w:rsidR="001311C7" w:rsidRPr="004F2CCB" w:rsidRDefault="001311C7"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EVIDENTIARY HEARING; SERVICE</w:t>
      </w:r>
      <w:r w:rsidRPr="004F2CCB">
        <w:rPr>
          <w:rFonts w:ascii="Bookman Old Style" w:hAnsi="Bookman Old Style"/>
          <w:sz w:val="24"/>
          <w:szCs w:val="24"/>
        </w:rPr>
        <w:t xml:space="preserve">.  </w:t>
      </w:r>
      <w:r w:rsidR="00C77B19" w:rsidRPr="004F2CCB">
        <w:rPr>
          <w:rFonts w:ascii="Bookman Old Style" w:hAnsi="Bookman Old Style"/>
          <w:sz w:val="24"/>
          <w:szCs w:val="24"/>
        </w:rPr>
        <w:t xml:space="preserve">The Court </w:t>
      </w:r>
      <w:r w:rsidRPr="004F2CCB">
        <w:rPr>
          <w:rFonts w:ascii="Bookman Old Style" w:hAnsi="Bookman Old Style"/>
          <w:sz w:val="24"/>
          <w:szCs w:val="24"/>
        </w:rPr>
        <w:t xml:space="preserve">will hold an evidentiary hearing on the </w:t>
      </w:r>
      <w:r w:rsidRPr="004F2CCB">
        <w:rPr>
          <w:rFonts w:ascii="Bookman Old Style" w:hAnsi="Bookman Old Style"/>
          <w:sz w:val="24"/>
          <w:szCs w:val="24"/>
          <w:highlight w:val="yellow"/>
        </w:rPr>
        <w:t xml:space="preserve">Motion </w:t>
      </w:r>
      <w:r w:rsidRPr="004F2CCB">
        <w:rPr>
          <w:rFonts w:ascii="Bookman Old Style" w:hAnsi="Bookman Old Style"/>
          <w:sz w:val="24"/>
          <w:szCs w:val="24"/>
        </w:rPr>
        <w:t>on</w:t>
      </w:r>
      <w:r w:rsidRPr="004F2CCB">
        <w:rPr>
          <w:rFonts w:ascii="Bookman Old Style" w:hAnsi="Bookman Old Style"/>
          <w:b/>
          <w:sz w:val="24"/>
          <w:szCs w:val="24"/>
        </w:rPr>
        <w:t xml:space="preserve"> </w:t>
      </w:r>
      <w:r w:rsidR="00E90E7F" w:rsidRPr="004F2CCB">
        <w:rPr>
          <w:rFonts w:ascii="Bookman Old Style" w:hAnsi="Bookman Old Style"/>
          <w:b/>
          <w:sz w:val="24"/>
          <w:szCs w:val="24"/>
          <w:highlight w:val="yellow"/>
        </w:rPr>
        <w:t>___________</w:t>
      </w:r>
      <w:r w:rsidR="000D0461" w:rsidRPr="004F2CCB">
        <w:rPr>
          <w:rFonts w:ascii="Bookman Old Style" w:hAnsi="Bookman Old Style"/>
          <w:b/>
          <w:sz w:val="24"/>
          <w:szCs w:val="24"/>
          <w:highlight w:val="yellow"/>
        </w:rPr>
        <w:t xml:space="preserve">commencing </w:t>
      </w:r>
      <w:r w:rsidRPr="004F2CCB">
        <w:rPr>
          <w:rFonts w:ascii="Bookman Old Style" w:hAnsi="Bookman Old Style"/>
          <w:b/>
          <w:sz w:val="24"/>
          <w:szCs w:val="24"/>
          <w:highlight w:val="yellow"/>
        </w:rPr>
        <w:t xml:space="preserve">at </w:t>
      </w:r>
      <w:r w:rsidR="00E90E7F" w:rsidRPr="004F2CCB">
        <w:rPr>
          <w:rFonts w:ascii="Bookman Old Style" w:hAnsi="Bookman Old Style"/>
          <w:b/>
          <w:sz w:val="24"/>
          <w:szCs w:val="24"/>
          <w:highlight w:val="yellow"/>
        </w:rPr>
        <w:lastRenderedPageBreak/>
        <w:t>______</w:t>
      </w:r>
      <w:r w:rsidRPr="004F2CCB">
        <w:rPr>
          <w:rFonts w:ascii="Bookman Old Style" w:hAnsi="Bookman Old Style"/>
          <w:b/>
          <w:sz w:val="24"/>
          <w:szCs w:val="24"/>
          <w:highlight w:val="yellow"/>
        </w:rPr>
        <w:t xml:space="preserve"> </w:t>
      </w:r>
      <w:r w:rsidR="00E90E7F" w:rsidRPr="004F2CCB">
        <w:rPr>
          <w:rFonts w:ascii="Bookman Old Style" w:hAnsi="Bookman Old Style"/>
          <w:b/>
          <w:sz w:val="24"/>
          <w:szCs w:val="24"/>
          <w:highlight w:val="yellow"/>
        </w:rPr>
        <w:t>_</w:t>
      </w:r>
      <w:r w:rsidRPr="004F2CCB">
        <w:rPr>
          <w:rFonts w:ascii="Bookman Old Style" w:hAnsi="Bookman Old Style"/>
          <w:b/>
          <w:sz w:val="24"/>
          <w:szCs w:val="24"/>
          <w:highlight w:val="yellow"/>
        </w:rPr>
        <w:t>.m.</w:t>
      </w:r>
      <w:r w:rsidR="00DE7829" w:rsidRPr="004F2CCB">
        <w:rPr>
          <w:rFonts w:ascii="Bookman Old Style" w:hAnsi="Bookman Old Style"/>
          <w:sz w:val="24"/>
          <w:szCs w:val="24"/>
        </w:rPr>
        <w:t xml:space="preserve"> </w:t>
      </w:r>
      <w:r w:rsidR="00990247" w:rsidRPr="004F2CCB">
        <w:rPr>
          <w:rFonts w:ascii="Calibri Light" w:hAnsi="Calibri Light" w:cs="Calibri Light"/>
          <w:sz w:val="24"/>
          <w:szCs w:val="24"/>
        </w:rPr>
        <w:t>﻿</w:t>
      </w:r>
      <w:r w:rsidR="00990247" w:rsidRPr="004F2CCB">
        <w:rPr>
          <w:rFonts w:ascii="Bookman Old Style" w:hAnsi="Bookman Old Style"/>
          <w:sz w:val="24"/>
          <w:szCs w:val="24"/>
        </w:rPr>
        <w:t xml:space="preserve">before the Honorable Laurel M. Isicoff at the United States Bankruptcy Court, 301 N. Miami Avenue, Courtroom 8, Miami, Florida 33128. </w:t>
      </w:r>
      <w:r w:rsidR="000D0461" w:rsidRPr="004F2CCB">
        <w:rPr>
          <w:rFonts w:ascii="Bookman Old Style" w:hAnsi="Bookman Old Style"/>
          <w:sz w:val="24"/>
          <w:szCs w:val="24"/>
        </w:rPr>
        <w:t xml:space="preserve">The Court has reserved </w:t>
      </w:r>
      <w:r w:rsidR="00E90E7F" w:rsidRPr="004F2CCB">
        <w:rPr>
          <w:rFonts w:ascii="Bookman Old Style" w:hAnsi="Bookman Old Style"/>
          <w:sz w:val="24"/>
          <w:szCs w:val="24"/>
          <w:highlight w:val="yellow"/>
        </w:rPr>
        <w:t>___________</w:t>
      </w:r>
      <w:r w:rsidR="000D0461" w:rsidRPr="004F2CCB">
        <w:rPr>
          <w:rFonts w:ascii="Bookman Old Style" w:hAnsi="Bookman Old Style"/>
          <w:sz w:val="24"/>
          <w:szCs w:val="24"/>
        </w:rPr>
        <w:t xml:space="preserve"> for this matter. </w:t>
      </w:r>
      <w:r w:rsidRPr="004F2CCB">
        <w:rPr>
          <w:rFonts w:ascii="Bookman Old Style" w:hAnsi="Bookman Old Style"/>
          <w:sz w:val="24"/>
          <w:szCs w:val="24"/>
        </w:rPr>
        <w:t xml:space="preserve">The </w:t>
      </w:r>
      <w:r w:rsidR="00104121" w:rsidRPr="004F2CCB">
        <w:rPr>
          <w:rFonts w:ascii="Bookman Old Style" w:hAnsi="Bookman Old Style"/>
          <w:sz w:val="24"/>
          <w:szCs w:val="24"/>
        </w:rPr>
        <w:t>M</w:t>
      </w:r>
      <w:r w:rsidRPr="004F2CCB">
        <w:rPr>
          <w:rFonts w:ascii="Bookman Old Style" w:hAnsi="Bookman Old Style"/>
          <w:sz w:val="24"/>
          <w:szCs w:val="24"/>
        </w:rPr>
        <w:t>ovant shall serve a copy of this order on all appropriate parties and file a certificate of service thereof as required by this Court’s local rules.</w:t>
      </w:r>
    </w:p>
    <w:p w14:paraId="1FF82D4F" w14:textId="0877489B" w:rsidR="000F5257" w:rsidRPr="004F2CCB" w:rsidRDefault="000F5257" w:rsidP="000F5257">
      <w:pPr>
        <w:jc w:val="both"/>
        <w:rPr>
          <w:rFonts w:ascii="Bookman Old Style" w:hAnsi="Bookman Old Style"/>
          <w:sz w:val="24"/>
          <w:szCs w:val="24"/>
        </w:rPr>
      </w:pPr>
    </w:p>
    <w:p w14:paraId="4645EA96" w14:textId="12186239" w:rsidR="000F5257" w:rsidRPr="004D5E59" w:rsidRDefault="000F5257" w:rsidP="004D5E59">
      <w:pPr>
        <w:ind w:left="1440"/>
        <w:jc w:val="both"/>
        <w:rPr>
          <w:rFonts w:ascii="Calibri Light" w:hAnsi="Calibri Light" w:cs="Calibri Light"/>
          <w:sz w:val="24"/>
          <w:szCs w:val="24"/>
        </w:rPr>
      </w:pPr>
      <w:r w:rsidRPr="004F2CCB">
        <w:rPr>
          <w:rFonts w:ascii="Calibri Light" w:hAnsi="Calibri Light" w:cs="Calibri Light"/>
          <w:sz w:val="24"/>
          <w:szCs w:val="24"/>
        </w:rPr>
        <w:t>﻿</w:t>
      </w:r>
      <w:r w:rsidR="003874A5" w:rsidRPr="004D5E59">
        <w:rPr>
          <w:rFonts w:ascii="Bookman Old Style" w:hAnsi="Bookman Old Style" w:cs="Calibri Light"/>
          <w:b/>
          <w:bCs/>
          <w:sz w:val="24"/>
          <w:szCs w:val="24"/>
          <w:u w:val="single"/>
        </w:rPr>
        <w:t xml:space="preserve">All </w:t>
      </w:r>
      <w:r w:rsidR="00BA21C6" w:rsidRPr="004D5E59">
        <w:rPr>
          <w:rFonts w:ascii="Bookman Old Style" w:hAnsi="Bookman Old Style" w:cs="Calibri Light"/>
          <w:b/>
          <w:bCs/>
          <w:sz w:val="24"/>
          <w:szCs w:val="24"/>
          <w:u w:val="single"/>
        </w:rPr>
        <w:t xml:space="preserve">parties participating in the presentation of evidence must appear in person at the hearing. </w:t>
      </w:r>
      <w:r w:rsidR="00C046A5" w:rsidRPr="004D5E59">
        <w:rPr>
          <w:rFonts w:ascii="Bookman Old Style" w:hAnsi="Bookman Old Style" w:cs="Calibri Light"/>
          <w:b/>
          <w:bCs/>
          <w:sz w:val="24"/>
          <w:szCs w:val="24"/>
          <w:u w:val="single"/>
        </w:rPr>
        <w:t xml:space="preserve">Subject to paragraph </w:t>
      </w:r>
      <w:r w:rsidR="00C92B97" w:rsidRPr="004D5E59">
        <w:rPr>
          <w:rFonts w:ascii="Bookman Old Style" w:hAnsi="Bookman Old Style" w:cs="Calibri Light"/>
          <w:b/>
          <w:bCs/>
          <w:sz w:val="24"/>
          <w:szCs w:val="24"/>
          <w:u w:val="single"/>
        </w:rPr>
        <w:t>10 below, all witnesses must also appear in person at the hearing.</w:t>
      </w:r>
      <w:r w:rsidR="00C92B97">
        <w:rPr>
          <w:rFonts w:ascii="Calibri Light" w:hAnsi="Calibri Light" w:cs="Calibri Light"/>
          <w:sz w:val="24"/>
          <w:szCs w:val="24"/>
        </w:rPr>
        <w:t xml:space="preserve"> </w:t>
      </w:r>
      <w:r w:rsidR="00B84F0F">
        <w:rPr>
          <w:rFonts w:ascii="Bookman Old Style" w:hAnsi="Bookman Old Style"/>
          <w:sz w:val="24"/>
          <w:szCs w:val="24"/>
        </w:rPr>
        <w:t>A</w:t>
      </w:r>
      <w:r w:rsidRPr="004F2CCB">
        <w:rPr>
          <w:rFonts w:ascii="Bookman Old Style" w:hAnsi="Bookman Old Style"/>
          <w:sz w:val="24"/>
          <w:szCs w:val="24"/>
        </w:rPr>
        <w:t xml:space="preserve">ny </w:t>
      </w:r>
      <w:r w:rsidR="00B84F0F">
        <w:rPr>
          <w:rFonts w:ascii="Bookman Old Style" w:hAnsi="Bookman Old Style"/>
          <w:sz w:val="24"/>
          <w:szCs w:val="24"/>
        </w:rPr>
        <w:t xml:space="preserve">other </w:t>
      </w:r>
      <w:r w:rsidRPr="004F2CCB">
        <w:rPr>
          <w:rFonts w:ascii="Bookman Old Style" w:hAnsi="Bookman Old Style"/>
          <w:sz w:val="24"/>
          <w:szCs w:val="24"/>
        </w:rPr>
        <w:t xml:space="preserve">interested party who is not participating in the presentation of evidence (except by unopposed proffer) may choose to attend the hearing remotely using the services of Zoom Video Communications, Inc. (“Zoom”), which permits remote participation by video or by telephone. To participate in the hearing remotely via Zoom (whether by video or by telephone), you must register in advance no later than </w:t>
      </w:r>
      <w:r w:rsidRPr="004F2CCB">
        <w:rPr>
          <w:rFonts w:ascii="Bookman Old Style" w:hAnsi="Bookman Old Style"/>
          <w:b/>
          <w:bCs/>
          <w:sz w:val="24"/>
          <w:szCs w:val="24"/>
          <w:u w:val="single"/>
        </w:rPr>
        <w:t>4:00 p.m., one business day before the date of the hearing</w:t>
      </w:r>
      <w:r w:rsidRPr="004F2CCB">
        <w:rPr>
          <w:rFonts w:ascii="Bookman Old Style" w:hAnsi="Bookman Old Style"/>
          <w:sz w:val="24"/>
          <w:szCs w:val="24"/>
        </w:rPr>
        <w:t xml:space="preserve">. To register, </w:t>
      </w:r>
      <w:r w:rsidR="00C30235" w:rsidRPr="004F2CCB">
        <w:rPr>
          <w:rFonts w:ascii="Bookman Old Style" w:hAnsi="Bookman Old Style"/>
          <w:sz w:val="24"/>
          <w:szCs w:val="24"/>
        </w:rPr>
        <w:t>click the link below</w:t>
      </w:r>
      <w:r w:rsidRPr="004F2CCB">
        <w:rPr>
          <w:rFonts w:ascii="Bookman Old Style" w:hAnsi="Bookman Old Style"/>
          <w:sz w:val="24"/>
          <w:szCs w:val="24"/>
        </w:rPr>
        <w:t xml:space="preserve"> or manually enter the link in a browser:</w:t>
      </w:r>
    </w:p>
    <w:p w14:paraId="03455656" w14:textId="77777777" w:rsidR="000F5257" w:rsidRPr="004F2CCB" w:rsidRDefault="000F5257" w:rsidP="000F5257">
      <w:pPr>
        <w:jc w:val="both"/>
        <w:rPr>
          <w:rFonts w:ascii="Bookman Old Style" w:hAnsi="Bookman Old Style"/>
          <w:sz w:val="24"/>
          <w:szCs w:val="24"/>
        </w:rPr>
      </w:pPr>
      <w:r w:rsidRPr="004F2CCB">
        <w:rPr>
          <w:rFonts w:ascii="Bookman Old Style" w:hAnsi="Bookman Old Style"/>
          <w:sz w:val="24"/>
          <w:szCs w:val="24"/>
        </w:rPr>
        <w:t xml:space="preserve"> </w:t>
      </w:r>
    </w:p>
    <w:p w14:paraId="32C9F62A" w14:textId="77777777" w:rsidR="00A970D9" w:rsidRDefault="004B0DAE" w:rsidP="00A970D9">
      <w:pPr>
        <w:ind w:left="1440"/>
        <w:jc w:val="both"/>
        <w:rPr>
          <w:rFonts w:ascii="Bookman Old Style" w:hAnsi="Bookman Old Style"/>
          <w:sz w:val="24"/>
          <w:szCs w:val="24"/>
        </w:rPr>
      </w:pPr>
      <w:hyperlink r:id="rId8" w:history="1">
        <w:r w:rsidR="00A970D9" w:rsidRPr="00F66ED2">
          <w:rPr>
            <w:rStyle w:val="Hyperlink"/>
            <w:rFonts w:ascii="Bookman Old Style" w:hAnsi="Bookman Old Style"/>
            <w:sz w:val="24"/>
            <w:szCs w:val="24"/>
          </w:rPr>
          <w:t>https://www.zoomgov.com/meeting/register/vJItfuqurDsoEnWyiKeoSfMa3m888k3mfBM</w:t>
        </w:r>
      </w:hyperlink>
    </w:p>
    <w:p w14:paraId="2A6D169E" w14:textId="77777777" w:rsidR="000F5257" w:rsidRPr="004F2CCB" w:rsidRDefault="000F5257" w:rsidP="000F5257">
      <w:pPr>
        <w:jc w:val="both"/>
        <w:rPr>
          <w:rFonts w:ascii="Bookman Old Style" w:hAnsi="Bookman Old Style"/>
          <w:sz w:val="24"/>
          <w:szCs w:val="24"/>
        </w:rPr>
      </w:pPr>
      <w:r w:rsidRPr="004F2CCB">
        <w:rPr>
          <w:rFonts w:ascii="Bookman Old Style" w:hAnsi="Bookman Old Style"/>
          <w:sz w:val="24"/>
          <w:szCs w:val="24"/>
        </w:rPr>
        <w:t xml:space="preserve"> </w:t>
      </w:r>
    </w:p>
    <w:p w14:paraId="223E7564" w14:textId="77777777" w:rsidR="000F5257" w:rsidRPr="004F2CCB" w:rsidRDefault="000F5257" w:rsidP="000F5257">
      <w:pPr>
        <w:jc w:val="both"/>
        <w:rPr>
          <w:rFonts w:ascii="Bookman Old Style" w:hAnsi="Bookman Old Style"/>
          <w:sz w:val="24"/>
          <w:szCs w:val="24"/>
        </w:rPr>
      </w:pPr>
    </w:p>
    <w:p w14:paraId="63290633" w14:textId="512A4A21" w:rsidR="000F5257" w:rsidRPr="004F2CCB" w:rsidRDefault="000F5257" w:rsidP="00355073">
      <w:pPr>
        <w:ind w:left="1440"/>
        <w:jc w:val="both"/>
        <w:rPr>
          <w:rFonts w:ascii="Bookman Old Style" w:hAnsi="Bookman Old Style"/>
          <w:sz w:val="24"/>
          <w:szCs w:val="24"/>
        </w:rPr>
      </w:pPr>
      <w:r w:rsidRPr="004F2CCB">
        <w:rPr>
          <w:rFonts w:ascii="Bookman Old Style" w:hAnsi="Bookman Old Style"/>
          <w:sz w:val="24"/>
          <w:szCs w:val="24"/>
        </w:rPr>
        <w:t>All participants (whether attending in person or remotely) must observe the formalities of the courtroom, exercise civility, and otherwise conduct themselves in a manner consistent with the dignity of the Court. This includes appropriate courtroom attire for those participants appearing in person or by video.</w:t>
      </w:r>
      <w:r w:rsidRPr="004F2CCB">
        <w:rPr>
          <w:rFonts w:ascii="Bookman Old Style" w:hAnsi="Bookman Old Style"/>
          <w:sz w:val="24"/>
          <w:szCs w:val="24"/>
        </w:rPr>
        <w:tab/>
      </w:r>
    </w:p>
    <w:p w14:paraId="24DC2DA7" w14:textId="77777777" w:rsidR="00941FD8" w:rsidRPr="004F2CCB" w:rsidRDefault="00941FD8" w:rsidP="001B7AEF">
      <w:pPr>
        <w:ind w:hanging="720"/>
        <w:jc w:val="both"/>
        <w:rPr>
          <w:rFonts w:ascii="Bookman Old Style" w:hAnsi="Bookman Old Style"/>
          <w:sz w:val="24"/>
          <w:szCs w:val="24"/>
        </w:rPr>
      </w:pPr>
    </w:p>
    <w:p w14:paraId="1CDC955B" w14:textId="77777777" w:rsidR="00941FD8" w:rsidRPr="004F2CCB" w:rsidRDefault="00941FD8" w:rsidP="00355073">
      <w:pPr>
        <w:rPr>
          <w:rFonts w:ascii="Bookman Old Style" w:hAnsi="Bookman Old Style"/>
          <w:sz w:val="24"/>
          <w:szCs w:val="24"/>
        </w:rPr>
      </w:pPr>
    </w:p>
    <w:p w14:paraId="7F902F85" w14:textId="7AF34E5B"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PUBLIC ACCESS</w:t>
      </w:r>
      <w:r w:rsidRPr="004F2CCB">
        <w:rPr>
          <w:rFonts w:ascii="Bookman Old Style" w:hAnsi="Bookman Old Style"/>
          <w:sz w:val="24"/>
          <w:szCs w:val="24"/>
        </w:rPr>
        <w:t xml:space="preserve">.  The evidentiary hearing scheduled by this order is a public matter. </w:t>
      </w:r>
      <w:r w:rsidR="00DC7521" w:rsidRPr="004F2CCB">
        <w:rPr>
          <w:rFonts w:ascii="Bookman Old Style" w:hAnsi="Bookman Old Style"/>
          <w:sz w:val="24"/>
          <w:szCs w:val="24"/>
        </w:rPr>
        <w:t>Although usually the public may only attend a live hearing, because the number of persons in the courtroom continues to be limited, t</w:t>
      </w:r>
      <w:r w:rsidRPr="004F2CCB">
        <w:rPr>
          <w:rFonts w:ascii="Bookman Old Style" w:hAnsi="Bookman Old Style"/>
          <w:sz w:val="24"/>
          <w:szCs w:val="24"/>
        </w:rPr>
        <w:t xml:space="preserve">he general public is invited to listen to the hearing by telephone. </w:t>
      </w:r>
      <w:r w:rsidR="007128E6" w:rsidRPr="004F2CCB">
        <w:rPr>
          <w:rFonts w:ascii="Bookman Old Style" w:hAnsi="Bookman Old Style"/>
          <w:sz w:val="24"/>
          <w:szCs w:val="24"/>
        </w:rPr>
        <w:t>Any person wishing to listen to the hearing by telephone may register using the Zoom link and mark “listen only” on the registration page.</w:t>
      </w:r>
      <w:r w:rsidRPr="004F2CCB">
        <w:rPr>
          <w:rFonts w:ascii="Bookman Old Style" w:hAnsi="Bookman Old Style"/>
          <w:sz w:val="24"/>
          <w:szCs w:val="24"/>
        </w:rPr>
        <w:t xml:space="preserve"> </w:t>
      </w:r>
    </w:p>
    <w:p w14:paraId="2F5C68E5" w14:textId="77777777" w:rsidR="00941FD8" w:rsidRPr="004F2CCB" w:rsidRDefault="00941FD8" w:rsidP="001B7AEF">
      <w:pPr>
        <w:pStyle w:val="ListParagraph"/>
        <w:ind w:hanging="720"/>
        <w:rPr>
          <w:rFonts w:ascii="Bookman Old Style" w:hAnsi="Bookman Old Style"/>
          <w:sz w:val="24"/>
          <w:szCs w:val="24"/>
        </w:rPr>
      </w:pPr>
    </w:p>
    <w:p w14:paraId="7D6F3BF7" w14:textId="00301EA6"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RECORDING PROHIBITED; OFFICIAL RECORD</w:t>
      </w:r>
      <w:r w:rsidRPr="004F2CCB">
        <w:rPr>
          <w:rFonts w:ascii="Bookman Old Style" w:hAnsi="Bookman Old Style"/>
          <w:sz w:val="24"/>
          <w:szCs w:val="24"/>
        </w:rPr>
        <w:t>.  No person may record the proceedings from any location by any means.  The audio recording created and maintained by the Court shall be the sole basis for creation of a transcript that constitutes the official record of the evidentiary hearing.</w:t>
      </w:r>
    </w:p>
    <w:p w14:paraId="00C6A7EA" w14:textId="77777777" w:rsidR="00941FD8" w:rsidRPr="004F2CCB" w:rsidRDefault="00941FD8" w:rsidP="001B7AEF">
      <w:pPr>
        <w:pStyle w:val="ListParagraph"/>
        <w:ind w:hanging="720"/>
        <w:rPr>
          <w:rFonts w:ascii="Bookman Old Style" w:hAnsi="Bookman Old Style"/>
          <w:sz w:val="24"/>
          <w:szCs w:val="24"/>
        </w:rPr>
      </w:pPr>
    </w:p>
    <w:p w14:paraId="5729FC73" w14:textId="3BFF2370"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MEDIATION</w:t>
      </w:r>
      <w:r w:rsidRPr="004F2CCB">
        <w:rPr>
          <w:rFonts w:ascii="Bookman Old Style" w:hAnsi="Bookman Old Style"/>
          <w:sz w:val="24"/>
          <w:szCs w:val="24"/>
        </w:rPr>
        <w:t xml:space="preserve">.  Pursuant to Local Rule 9019-2, the Court may order the assignment of this contested matter to mediation or judicial </w:t>
      </w:r>
      <w:r w:rsidRPr="004F2CCB">
        <w:rPr>
          <w:rFonts w:ascii="Bookman Old Style" w:hAnsi="Bookman Old Style"/>
          <w:sz w:val="24"/>
          <w:szCs w:val="24"/>
        </w:rPr>
        <w:lastRenderedPageBreak/>
        <w:t xml:space="preserve">settlement conference at any time, upon the request of a party or </w:t>
      </w:r>
      <w:r w:rsidRPr="004F2CCB">
        <w:rPr>
          <w:rFonts w:ascii="Bookman Old Style" w:hAnsi="Bookman Old Style"/>
          <w:i/>
          <w:sz w:val="24"/>
          <w:szCs w:val="24"/>
        </w:rPr>
        <w:t>sua sponte</w:t>
      </w:r>
      <w:r w:rsidRPr="004F2CCB">
        <w:rPr>
          <w:rFonts w:ascii="Bookman Old Style" w:hAnsi="Bookman Old Style"/>
          <w:sz w:val="24"/>
          <w:szCs w:val="24"/>
        </w:rPr>
        <w:t>.</w:t>
      </w:r>
    </w:p>
    <w:p w14:paraId="6F93556D" w14:textId="77777777" w:rsidR="00941FD8" w:rsidRPr="004F2CCB" w:rsidRDefault="00941FD8" w:rsidP="001B7AEF">
      <w:pPr>
        <w:pStyle w:val="ListParagraph"/>
        <w:ind w:hanging="720"/>
        <w:rPr>
          <w:rFonts w:ascii="Bookman Old Style" w:hAnsi="Bookman Old Style"/>
          <w:sz w:val="24"/>
          <w:szCs w:val="24"/>
        </w:rPr>
      </w:pPr>
    </w:p>
    <w:p w14:paraId="45FF5602" w14:textId="6CC54DF1"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DISCOVERY</w:t>
      </w:r>
      <w:r w:rsidRPr="004F2CCB">
        <w:rPr>
          <w:rFonts w:ascii="Bookman Old Style" w:hAnsi="Bookman Old Style"/>
          <w:sz w:val="24"/>
          <w:szCs w:val="24"/>
        </w:rPr>
        <w:t xml:space="preserve">.  </w:t>
      </w:r>
      <w:r w:rsidRPr="004F2CCB">
        <w:rPr>
          <w:rFonts w:ascii="Bookman Old Style" w:hAnsi="Bookman Old Style"/>
          <w:sz w:val="24"/>
          <w:szCs w:val="24"/>
          <w:lang w:val="en-CA"/>
        </w:rPr>
        <w:fldChar w:fldCharType="begin"/>
      </w:r>
      <w:r w:rsidRPr="004F2CCB">
        <w:rPr>
          <w:rFonts w:ascii="Bookman Old Style" w:hAnsi="Bookman Old Style"/>
          <w:sz w:val="24"/>
          <w:szCs w:val="24"/>
          <w:lang w:val="en-CA"/>
        </w:rPr>
        <w:instrText xml:space="preserve"> SEQ CHAPTER \h \r 1</w:instrText>
      </w:r>
      <w:r w:rsidRPr="004F2CCB">
        <w:rPr>
          <w:rFonts w:ascii="Bookman Old Style" w:hAnsi="Bookman Old Style"/>
          <w:sz w:val="24"/>
          <w:szCs w:val="24"/>
          <w:lang w:val="en-CA"/>
        </w:rPr>
        <w:fldChar w:fldCharType="end"/>
      </w:r>
      <w:r w:rsidRPr="004F2CCB">
        <w:rPr>
          <w:rFonts w:ascii="Bookman Old Style" w:hAnsi="Bookman Old Style"/>
          <w:sz w:val="24"/>
          <w:szCs w:val="24"/>
        </w:rPr>
        <w:t xml:space="preserve">All discovery must be completed not later </w:t>
      </w:r>
      <w:r w:rsidRPr="004F2CCB">
        <w:rPr>
          <w:rFonts w:ascii="Bookman Old Style" w:hAnsi="Bookman Old Style"/>
          <w:sz w:val="24"/>
          <w:szCs w:val="24"/>
          <w:highlight w:val="white"/>
        </w:rPr>
        <w:t xml:space="preserve">than </w:t>
      </w:r>
      <w:r w:rsidRPr="004F2CCB">
        <w:rPr>
          <w:rFonts w:ascii="Bookman Old Style" w:hAnsi="Bookman Old Style"/>
          <w:b/>
          <w:bCs/>
          <w:sz w:val="24"/>
          <w:szCs w:val="24"/>
          <w:highlight w:val="white"/>
          <w:u w:val="single"/>
        </w:rPr>
        <w:t xml:space="preserve">seven </w:t>
      </w:r>
      <w:r w:rsidRPr="004F2CCB">
        <w:rPr>
          <w:rFonts w:ascii="Bookman Old Style" w:hAnsi="Bookman Old Style"/>
          <w:b/>
          <w:bCs/>
          <w:sz w:val="24"/>
          <w:szCs w:val="24"/>
          <w:u w:val="single"/>
        </w:rPr>
        <w:t>days</w:t>
      </w:r>
      <w:r w:rsidRPr="004F2CCB">
        <w:rPr>
          <w:rFonts w:ascii="Bookman Old Style" w:hAnsi="Bookman Old Style"/>
          <w:sz w:val="24"/>
          <w:szCs w:val="24"/>
        </w:rPr>
        <w:t xml:space="preserve"> before the evidentiary hearing.  The Court will allow discovery after that date only upon a showing of good cause. All expert reports shall be exchanged no later than the conclusion of discovery, unless the parties agree otherwise. The time for responding to interrogatories, requests for admission or requests for production is shortened to fourteen (14) days from service of the discovery.</w:t>
      </w:r>
    </w:p>
    <w:p w14:paraId="6E47FE1D" w14:textId="77777777" w:rsidR="00941FD8" w:rsidRPr="004F2CCB" w:rsidRDefault="00941FD8" w:rsidP="001B7AEF">
      <w:pPr>
        <w:pStyle w:val="ListParagraph"/>
        <w:ind w:hanging="720"/>
        <w:rPr>
          <w:rFonts w:ascii="Bookman Old Style" w:hAnsi="Bookman Old Style"/>
          <w:sz w:val="24"/>
          <w:szCs w:val="24"/>
        </w:rPr>
      </w:pPr>
    </w:p>
    <w:p w14:paraId="413D5853" w14:textId="1F80C756"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WITNESS LISTS</w:t>
      </w:r>
      <w:r w:rsidRPr="004F2CCB">
        <w:rPr>
          <w:rFonts w:ascii="Bookman Old Style" w:eastAsiaTheme="minorEastAsia" w:hAnsi="Bookman Old Style"/>
          <w:b/>
          <w:sz w:val="24"/>
          <w:szCs w:val="24"/>
        </w:rPr>
        <w:t xml:space="preserve">.  </w:t>
      </w:r>
      <w:r w:rsidRPr="004F2CCB">
        <w:rPr>
          <w:rFonts w:ascii="Bookman Old Style" w:eastAsiaTheme="minorEastAsia" w:hAnsi="Bookman Old Style"/>
          <w:bCs/>
          <w:sz w:val="24"/>
          <w:szCs w:val="24"/>
        </w:rPr>
        <w:t xml:space="preserve">No later than </w:t>
      </w:r>
      <w:r w:rsidR="007128E6" w:rsidRPr="004F2CCB">
        <w:rPr>
          <w:rFonts w:ascii="Bookman Old Style" w:eastAsiaTheme="minorEastAsia" w:hAnsi="Bookman Old Style"/>
          <w:b/>
          <w:sz w:val="24"/>
          <w:szCs w:val="24"/>
          <w:u w:val="single"/>
        </w:rPr>
        <w:t>4:00 p.m. four business days before the evidentiary hearing</w:t>
      </w:r>
      <w:r w:rsidR="00A970D9">
        <w:rPr>
          <w:rFonts w:ascii="Bookman Old Style" w:eastAsiaTheme="minorEastAsia" w:hAnsi="Bookman Old Style"/>
          <w:b/>
          <w:sz w:val="24"/>
          <w:szCs w:val="24"/>
          <w:u w:val="single"/>
        </w:rPr>
        <w:t xml:space="preserve">, </w:t>
      </w:r>
      <w:r w:rsidRPr="004F2CCB">
        <w:rPr>
          <w:rFonts w:ascii="Bookman Old Style" w:eastAsiaTheme="minorEastAsia" w:hAnsi="Bookman Old Style"/>
          <w:bCs/>
          <w:sz w:val="24"/>
          <w:szCs w:val="24"/>
        </w:rPr>
        <w:t>a</w:t>
      </w:r>
      <w:r w:rsidRPr="004F2CCB">
        <w:rPr>
          <w:rFonts w:ascii="Bookman Old Style" w:eastAsiaTheme="minorEastAsia" w:hAnsi="Bookman Old Style"/>
          <w:sz w:val="24"/>
          <w:szCs w:val="24"/>
        </w:rPr>
        <w:t xml:space="preserve">ll parties must exchange and file with the Court witness lists identifying all fact and expert witnesses each party intends to call at the evidentiary hearing (other than rebuttal or impeachment witnesses). </w:t>
      </w:r>
    </w:p>
    <w:p w14:paraId="20BAB8B1" w14:textId="77777777" w:rsidR="00941FD8" w:rsidRPr="004F2CCB" w:rsidRDefault="00941FD8" w:rsidP="001B7AEF">
      <w:pPr>
        <w:pStyle w:val="ListParagraph"/>
        <w:ind w:hanging="720"/>
        <w:rPr>
          <w:rFonts w:ascii="Bookman Old Style" w:hAnsi="Bookman Old Style"/>
          <w:sz w:val="24"/>
          <w:szCs w:val="24"/>
        </w:rPr>
      </w:pPr>
    </w:p>
    <w:p w14:paraId="188AD283" w14:textId="1E5C6429"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SUBMISSION AND EXCHANGE OF EXHIBITS</w:t>
      </w:r>
      <w:r w:rsidRPr="004F2CCB">
        <w:rPr>
          <w:rFonts w:ascii="Bookman Old Style" w:eastAsiaTheme="minorEastAsia" w:hAnsi="Bookman Old Style"/>
          <w:b/>
          <w:sz w:val="24"/>
          <w:szCs w:val="24"/>
        </w:rPr>
        <w:t xml:space="preserve">. </w:t>
      </w:r>
      <w:r w:rsidR="00305C93" w:rsidRPr="004F2CCB">
        <w:rPr>
          <w:rFonts w:ascii="Bookman Old Style" w:eastAsiaTheme="minorEastAsia" w:hAnsi="Bookman Old Style"/>
          <w:bCs/>
          <w:sz w:val="24"/>
          <w:szCs w:val="24"/>
        </w:rPr>
        <w:t xml:space="preserve">No later than </w:t>
      </w:r>
      <w:r w:rsidR="00305C93" w:rsidRPr="004F2CCB">
        <w:rPr>
          <w:rFonts w:ascii="Bookman Old Style" w:eastAsiaTheme="minorEastAsia" w:hAnsi="Bookman Old Style"/>
          <w:b/>
          <w:sz w:val="24"/>
          <w:szCs w:val="24"/>
          <w:u w:val="single"/>
        </w:rPr>
        <w:t>4:00 p.m. four business days before the evidentiary hearing</w:t>
      </w:r>
      <w:r w:rsidR="00305C93" w:rsidRPr="004F2CCB">
        <w:rPr>
          <w:rFonts w:ascii="Bookman Old Style" w:eastAsiaTheme="minorEastAsia" w:hAnsi="Bookman Old Style"/>
          <w:bCs/>
          <w:sz w:val="24"/>
          <w:szCs w:val="24"/>
        </w:rPr>
        <w:t>, the parties must submit and exchange a</w:t>
      </w:r>
      <w:r w:rsidRPr="004F2CCB">
        <w:rPr>
          <w:rFonts w:ascii="Bookman Old Style" w:eastAsiaTheme="minorEastAsia" w:hAnsi="Bookman Old Style"/>
          <w:bCs/>
          <w:sz w:val="24"/>
          <w:szCs w:val="24"/>
        </w:rPr>
        <w:t xml:space="preserve">ll </w:t>
      </w:r>
      <w:r w:rsidRPr="004F2CCB">
        <w:rPr>
          <w:rFonts w:ascii="Bookman Old Style" w:eastAsiaTheme="minorEastAsia" w:hAnsi="Bookman Old Style"/>
          <w:sz w:val="24"/>
          <w:szCs w:val="24"/>
        </w:rPr>
        <w:t xml:space="preserve">exhibits pursuant to the requirements of Local Rule 9070-1, </w:t>
      </w:r>
      <w:r w:rsidRPr="004F2CCB">
        <w:rPr>
          <w:rFonts w:ascii="Bookman Old Style" w:hAnsi="Bookman Old Style"/>
          <w:b/>
          <w:bCs/>
          <w:sz w:val="24"/>
          <w:szCs w:val="24"/>
        </w:rPr>
        <w:t>which requires all parties to upload exhibits through CM/ECF, with some exceptions where any party is not represented by counsel</w:t>
      </w:r>
      <w:r w:rsidRPr="004F2CCB">
        <w:rPr>
          <w:rFonts w:ascii="Bookman Old Style" w:hAnsi="Bookman Old Style"/>
          <w:sz w:val="24"/>
          <w:szCs w:val="24"/>
        </w:rPr>
        <w:t>.</w:t>
      </w:r>
    </w:p>
    <w:p w14:paraId="66CF19C2" w14:textId="5F179BFE" w:rsidR="00680562" w:rsidRPr="004F2CCB" w:rsidRDefault="00680562" w:rsidP="00680562">
      <w:pPr>
        <w:pStyle w:val="ListParagraph"/>
        <w:rPr>
          <w:rFonts w:ascii="Bookman Old Style" w:hAnsi="Bookman Old Style"/>
          <w:sz w:val="24"/>
          <w:szCs w:val="24"/>
        </w:rPr>
      </w:pPr>
    </w:p>
    <w:p w14:paraId="597B35E3" w14:textId="2054341C" w:rsidR="00680562" w:rsidRPr="004F2CCB" w:rsidRDefault="00680562" w:rsidP="00680562">
      <w:pPr>
        <w:pStyle w:val="ListParagraph"/>
        <w:ind w:left="1440"/>
        <w:jc w:val="both"/>
        <w:rPr>
          <w:rFonts w:ascii="Bookman Old Style" w:hAnsi="Bookman Old Style"/>
          <w:color w:val="000000" w:themeColor="text1"/>
          <w:sz w:val="24"/>
          <w:szCs w:val="24"/>
        </w:rPr>
      </w:pPr>
      <w:r w:rsidRPr="004F2CCB">
        <w:rPr>
          <w:rFonts w:ascii="Bookman Old Style" w:eastAsiaTheme="minorEastAsia" w:hAnsi="Bookman Old Style"/>
          <w:color w:val="000000" w:themeColor="text1"/>
          <w:sz w:val="24"/>
          <w:szCs w:val="24"/>
        </w:rPr>
        <w:t xml:space="preserve">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w:t>
      </w:r>
      <w:r w:rsidRPr="004F2CCB">
        <w:rPr>
          <w:rFonts w:ascii="Bookman Old Style" w:eastAsiaTheme="minorEastAsia" w:hAnsi="Bookman Old Style"/>
          <w:b/>
          <w:bCs/>
          <w:color w:val="000000" w:themeColor="text1"/>
          <w:sz w:val="24"/>
          <w:szCs w:val="24"/>
        </w:rPr>
        <w:t>More voluminous documents may require earlier notice of intent to use a summary.</w:t>
      </w:r>
    </w:p>
    <w:p w14:paraId="2E552FAD" w14:textId="77777777" w:rsidR="00941FD8" w:rsidRPr="004F2CCB" w:rsidRDefault="00941FD8" w:rsidP="001B7AEF">
      <w:pPr>
        <w:pStyle w:val="ListParagraph"/>
        <w:ind w:hanging="720"/>
        <w:rPr>
          <w:rFonts w:ascii="Bookman Old Style" w:hAnsi="Bookman Old Style"/>
          <w:sz w:val="24"/>
          <w:szCs w:val="24"/>
        </w:rPr>
      </w:pPr>
    </w:p>
    <w:p w14:paraId="3027E363" w14:textId="6FCEE08D" w:rsidR="00A42C2F"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OBJECTIONS TO EXHIBITS</w:t>
      </w:r>
      <w:r w:rsidRPr="004F2CCB">
        <w:rPr>
          <w:rFonts w:ascii="Bookman Old Style" w:eastAsiaTheme="minorEastAsia" w:hAnsi="Bookman Old Style"/>
          <w:sz w:val="24"/>
          <w:szCs w:val="24"/>
        </w:rPr>
        <w:t>. All objections to exhibits must comply with Local Rule 9070-1</w:t>
      </w:r>
      <w:r w:rsidR="00A43E2A" w:rsidRPr="004F2CCB">
        <w:rPr>
          <w:rFonts w:ascii="Bookman Old Style" w:eastAsiaTheme="minorEastAsia" w:hAnsi="Bookman Old Style"/>
          <w:sz w:val="24"/>
          <w:szCs w:val="24"/>
        </w:rPr>
        <w:t xml:space="preserve"> and must be filed and served, so as to be received no later than </w:t>
      </w:r>
      <w:r w:rsidR="00A43E2A" w:rsidRPr="004F2CCB">
        <w:rPr>
          <w:rFonts w:ascii="Bookman Old Style" w:eastAsiaTheme="minorEastAsia" w:hAnsi="Bookman Old Style"/>
          <w:b/>
          <w:bCs/>
          <w:sz w:val="24"/>
          <w:szCs w:val="24"/>
          <w:u w:val="single"/>
        </w:rPr>
        <w:t>4:00 p.m. two business days before the evidentiary hearing</w:t>
      </w:r>
      <w:r w:rsidR="00A43E2A" w:rsidRPr="004F2CCB">
        <w:rPr>
          <w:rFonts w:ascii="Bookman Old Style" w:eastAsiaTheme="minorEastAsia" w:hAnsi="Bookman Old Style"/>
          <w:sz w:val="24"/>
          <w:szCs w:val="24"/>
        </w:rPr>
        <w:t>.</w:t>
      </w:r>
      <w:r w:rsidRPr="004F2CCB">
        <w:rPr>
          <w:rFonts w:ascii="Bookman Old Style" w:eastAsiaTheme="minorEastAsia" w:hAnsi="Bookman Old Style"/>
          <w:sz w:val="24"/>
          <w:szCs w:val="24"/>
        </w:rPr>
        <w:t xml:space="preserve">  The parties must meet and confer (by telephone or video conference) to resolve, to the extent possible, any objections to exhibits. Any unresolved objections (other than objections to relevancy) will be addressed at the beginning of the evidentiary hearing.</w:t>
      </w:r>
    </w:p>
    <w:p w14:paraId="407395CC" w14:textId="77777777" w:rsidR="00494F68" w:rsidRPr="004F2CCB" w:rsidRDefault="00494F68" w:rsidP="001B7AEF">
      <w:pPr>
        <w:pStyle w:val="ListParagraph"/>
        <w:ind w:hanging="720"/>
        <w:jc w:val="both"/>
        <w:rPr>
          <w:rFonts w:ascii="Bookman Old Style" w:hAnsi="Bookman Old Style"/>
          <w:sz w:val="24"/>
          <w:szCs w:val="24"/>
        </w:rPr>
      </w:pPr>
    </w:p>
    <w:p w14:paraId="724FAC5B" w14:textId="6D5984F7" w:rsidR="00A42C2F" w:rsidRPr="004F2CCB" w:rsidRDefault="00E61841"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sz w:val="24"/>
          <w:szCs w:val="24"/>
          <w:u w:val="single"/>
        </w:rPr>
        <w:t>JOINT</w:t>
      </w:r>
      <w:r w:rsidR="0060269C" w:rsidRPr="004F2CCB">
        <w:rPr>
          <w:rFonts w:ascii="Bookman Old Style" w:hAnsi="Bookman Old Style"/>
          <w:b/>
          <w:sz w:val="24"/>
          <w:szCs w:val="24"/>
          <w:u w:val="single"/>
        </w:rPr>
        <w:t xml:space="preserve"> </w:t>
      </w:r>
      <w:r w:rsidRPr="004F2CCB">
        <w:rPr>
          <w:rFonts w:ascii="Bookman Old Style" w:hAnsi="Bookman Old Style"/>
          <w:b/>
          <w:sz w:val="24"/>
          <w:szCs w:val="24"/>
          <w:u w:val="single"/>
        </w:rPr>
        <w:t>STIPULATION WHERE ALL PARTIES REPRESENTED BY COUNSEL</w:t>
      </w:r>
      <w:r w:rsidR="002B48F2" w:rsidRPr="004F2CCB">
        <w:rPr>
          <w:rFonts w:ascii="Bookman Old Style" w:hAnsi="Bookman Old Style"/>
          <w:bCs/>
          <w:sz w:val="24"/>
          <w:szCs w:val="24"/>
        </w:rPr>
        <w:t xml:space="preserve">. </w:t>
      </w:r>
      <w:r w:rsidR="00021ED4" w:rsidRPr="004F2CCB">
        <w:rPr>
          <w:rFonts w:ascii="Bookman Old Style" w:hAnsi="Bookman Old Style"/>
          <w:bCs/>
          <w:sz w:val="24"/>
          <w:szCs w:val="24"/>
        </w:rPr>
        <w:t>(</w:t>
      </w:r>
      <w:r w:rsidRPr="004F2CCB">
        <w:rPr>
          <w:rFonts w:ascii="Bookman Old Style" w:hAnsi="Bookman Old Style"/>
          <w:bCs/>
          <w:i/>
          <w:iCs/>
          <w:sz w:val="24"/>
          <w:szCs w:val="24"/>
        </w:rPr>
        <w:t>If any party is not represented by counsel in this proceeding as of the date of entry of this Order, this paragraph will not apply.</w:t>
      </w:r>
      <w:r w:rsidR="00021ED4" w:rsidRPr="004F2CCB">
        <w:rPr>
          <w:rFonts w:ascii="Bookman Old Style" w:hAnsi="Bookman Old Style"/>
          <w:bCs/>
          <w:sz w:val="24"/>
          <w:szCs w:val="24"/>
        </w:rPr>
        <w:t>)</w:t>
      </w:r>
      <w:r w:rsidRPr="004F2CCB">
        <w:rPr>
          <w:rFonts w:ascii="Bookman Old Style" w:hAnsi="Bookman Old Style"/>
          <w:bCs/>
          <w:sz w:val="24"/>
          <w:szCs w:val="24"/>
        </w:rPr>
        <w:t xml:space="preserve"> All </w:t>
      </w:r>
      <w:r w:rsidR="00494F68" w:rsidRPr="004F2CCB">
        <w:rPr>
          <w:rFonts w:ascii="Bookman Old Style" w:hAnsi="Bookman Old Style"/>
          <w:bCs/>
          <w:sz w:val="24"/>
          <w:szCs w:val="24"/>
        </w:rPr>
        <w:t xml:space="preserve">parties </w:t>
      </w:r>
      <w:r w:rsidRPr="004F2CCB">
        <w:rPr>
          <w:rFonts w:ascii="Bookman Old Style" w:hAnsi="Bookman Old Style"/>
          <w:bCs/>
          <w:sz w:val="24"/>
          <w:szCs w:val="24"/>
        </w:rPr>
        <w:t xml:space="preserve">to this proceeding must </w:t>
      </w:r>
      <w:r w:rsidR="00494F68" w:rsidRPr="004F2CCB">
        <w:rPr>
          <w:rFonts w:ascii="Bookman Old Style" w:hAnsi="Bookman Old Style"/>
          <w:bCs/>
          <w:sz w:val="24"/>
          <w:szCs w:val="24"/>
        </w:rPr>
        <w:t>meet and confer</w:t>
      </w:r>
      <w:r w:rsidRPr="004F2CCB">
        <w:rPr>
          <w:rFonts w:ascii="Bookman Old Style" w:hAnsi="Bookman Old Style"/>
          <w:bCs/>
          <w:sz w:val="24"/>
          <w:szCs w:val="24"/>
        </w:rPr>
        <w:t xml:space="preserve"> (in </w:t>
      </w:r>
      <w:r w:rsidRPr="004F2CCB">
        <w:rPr>
          <w:rFonts w:ascii="Bookman Old Style" w:hAnsi="Bookman Old Style"/>
          <w:bCs/>
          <w:sz w:val="24"/>
          <w:szCs w:val="24"/>
        </w:rPr>
        <w:lastRenderedPageBreak/>
        <w:t>person, if geographically feasible, and otherwise by video conference or by telephone)</w:t>
      </w:r>
      <w:r w:rsidR="00494F68" w:rsidRPr="004F2CCB">
        <w:rPr>
          <w:rFonts w:ascii="Bookman Old Style" w:hAnsi="Bookman Old Style"/>
          <w:bCs/>
          <w:sz w:val="24"/>
          <w:szCs w:val="24"/>
        </w:rPr>
        <w:t xml:space="preserve"> no</w:t>
      </w:r>
      <w:r w:rsidRPr="004F2CCB">
        <w:rPr>
          <w:rFonts w:ascii="Bookman Old Style" w:hAnsi="Bookman Old Style"/>
          <w:bCs/>
          <w:sz w:val="24"/>
          <w:szCs w:val="24"/>
        </w:rPr>
        <w:t>t</w:t>
      </w:r>
      <w:r w:rsidR="00494F68" w:rsidRPr="004F2CCB">
        <w:rPr>
          <w:rFonts w:ascii="Bookman Old Style" w:hAnsi="Bookman Old Style"/>
          <w:bCs/>
          <w:sz w:val="24"/>
          <w:szCs w:val="24"/>
        </w:rPr>
        <w:t xml:space="preserve"> later than </w:t>
      </w:r>
      <w:r w:rsidR="00CF09E5" w:rsidRPr="004F2CCB">
        <w:rPr>
          <w:rFonts w:ascii="Bookman Old Style" w:hAnsi="Bookman Old Style"/>
          <w:b/>
          <w:bCs/>
          <w:sz w:val="24"/>
          <w:szCs w:val="24"/>
          <w:u w:val="single"/>
        </w:rPr>
        <w:t>seven</w:t>
      </w:r>
      <w:r w:rsidR="00494F68" w:rsidRPr="004F2CCB">
        <w:rPr>
          <w:rFonts w:ascii="Bookman Old Style" w:hAnsi="Bookman Old Style"/>
          <w:b/>
          <w:bCs/>
          <w:sz w:val="24"/>
          <w:szCs w:val="24"/>
          <w:u w:val="single"/>
        </w:rPr>
        <w:t xml:space="preserve"> days</w:t>
      </w:r>
      <w:r w:rsidR="00494F68" w:rsidRPr="004F2CCB">
        <w:rPr>
          <w:rFonts w:ascii="Bookman Old Style" w:hAnsi="Bookman Old Style"/>
          <w:bCs/>
          <w:sz w:val="24"/>
          <w:szCs w:val="24"/>
        </w:rPr>
        <w:t xml:space="preserve"> prior to the hearing and prepare a written stipulation substantially in the form of Local Form 63</w:t>
      </w:r>
      <w:r w:rsidRPr="004F2CCB">
        <w:rPr>
          <w:rFonts w:ascii="Bookman Old Style" w:hAnsi="Bookman Old Style"/>
          <w:bCs/>
          <w:sz w:val="24"/>
          <w:szCs w:val="24"/>
        </w:rPr>
        <w:t>C</w:t>
      </w:r>
      <w:r w:rsidR="00494F68" w:rsidRPr="004F2CCB">
        <w:rPr>
          <w:rFonts w:ascii="Bookman Old Style" w:hAnsi="Bookman Old Style"/>
          <w:bCs/>
          <w:sz w:val="24"/>
          <w:szCs w:val="24"/>
        </w:rPr>
        <w:t xml:space="preserve"> setting forth the following</w:t>
      </w:r>
      <w:r w:rsidRPr="004F2CCB">
        <w:rPr>
          <w:rFonts w:ascii="Bookman Old Style" w:hAnsi="Bookman Old Style"/>
          <w:bCs/>
          <w:sz w:val="24"/>
          <w:szCs w:val="24"/>
        </w:rPr>
        <w:t>:</w:t>
      </w:r>
      <w:r w:rsidR="00494F68" w:rsidRPr="004F2CCB">
        <w:rPr>
          <w:rFonts w:ascii="Bookman Old Style" w:hAnsi="Bookman Old Style"/>
          <w:bCs/>
          <w:sz w:val="24"/>
          <w:szCs w:val="24"/>
        </w:rPr>
        <w:t xml:space="preserve"> (a) undisputed facts; (b) disputed facts to be litigated; and (c) issues of law to be litigated.  The stipulation </w:t>
      </w:r>
      <w:r w:rsidRPr="004F2CCB">
        <w:rPr>
          <w:rFonts w:ascii="Bookman Old Style" w:hAnsi="Bookman Old Style"/>
          <w:bCs/>
          <w:sz w:val="24"/>
          <w:szCs w:val="24"/>
        </w:rPr>
        <w:t>must</w:t>
      </w:r>
      <w:r w:rsidR="00494F68" w:rsidRPr="004F2CCB">
        <w:rPr>
          <w:rFonts w:ascii="Bookman Old Style" w:hAnsi="Bookman Old Style"/>
          <w:bCs/>
          <w:sz w:val="24"/>
          <w:szCs w:val="24"/>
        </w:rPr>
        <w:t xml:space="preserve"> be signed by the attorneys for all parties. The fully executed joint stipulation must be </w:t>
      </w:r>
      <w:r w:rsidR="00494F68" w:rsidRPr="004F2CCB">
        <w:rPr>
          <w:rFonts w:ascii="Bookman Old Style" w:hAnsi="Bookman Old Style"/>
          <w:bCs/>
          <w:color w:val="000000" w:themeColor="text1"/>
          <w:sz w:val="24"/>
          <w:szCs w:val="24"/>
        </w:rPr>
        <w:t>filed no later than</w:t>
      </w:r>
      <w:r w:rsidR="00494F68" w:rsidRPr="004F2CCB">
        <w:rPr>
          <w:rFonts w:ascii="Bookman Old Style" w:hAnsi="Bookman Old Style"/>
          <w:b/>
          <w:color w:val="000000" w:themeColor="text1"/>
          <w:sz w:val="24"/>
          <w:szCs w:val="24"/>
        </w:rPr>
        <w:t xml:space="preserve"> </w:t>
      </w:r>
      <w:r w:rsidR="005B337A" w:rsidRPr="004F2CCB">
        <w:rPr>
          <w:rFonts w:ascii="Bookman Old Style" w:hAnsi="Bookman Old Style"/>
          <w:b/>
          <w:color w:val="000000" w:themeColor="text1"/>
          <w:sz w:val="24"/>
          <w:szCs w:val="24"/>
          <w:u w:val="single"/>
        </w:rPr>
        <w:t xml:space="preserve">4:00 p.m. </w:t>
      </w:r>
      <w:r w:rsidR="00494F68" w:rsidRPr="004F2CCB">
        <w:rPr>
          <w:rFonts w:ascii="Bookman Old Style" w:hAnsi="Bookman Old Style"/>
          <w:b/>
          <w:color w:val="000000" w:themeColor="text1"/>
          <w:sz w:val="24"/>
          <w:szCs w:val="24"/>
          <w:u w:val="single"/>
        </w:rPr>
        <w:t xml:space="preserve">one business day </w:t>
      </w:r>
      <w:r w:rsidR="005B337A" w:rsidRPr="004F2CCB">
        <w:rPr>
          <w:rFonts w:ascii="Bookman Old Style" w:hAnsi="Bookman Old Style"/>
          <w:b/>
          <w:color w:val="000000" w:themeColor="text1"/>
          <w:sz w:val="24"/>
          <w:szCs w:val="24"/>
          <w:u w:val="single"/>
        </w:rPr>
        <w:t xml:space="preserve">before </w:t>
      </w:r>
      <w:r w:rsidR="00494F68" w:rsidRPr="004F2CCB">
        <w:rPr>
          <w:rFonts w:ascii="Bookman Old Style" w:hAnsi="Bookman Old Style"/>
          <w:b/>
          <w:color w:val="000000" w:themeColor="text1"/>
          <w:sz w:val="24"/>
          <w:szCs w:val="24"/>
          <w:u w:val="single"/>
        </w:rPr>
        <w:t xml:space="preserve">the </w:t>
      </w:r>
      <w:r w:rsidR="005B337A" w:rsidRPr="004F2CCB">
        <w:rPr>
          <w:rFonts w:ascii="Bookman Old Style" w:hAnsi="Bookman Old Style"/>
          <w:b/>
          <w:color w:val="000000" w:themeColor="text1"/>
          <w:sz w:val="24"/>
          <w:szCs w:val="24"/>
          <w:u w:val="single"/>
        </w:rPr>
        <w:t xml:space="preserve">evidentiary </w:t>
      </w:r>
      <w:r w:rsidR="00494F68" w:rsidRPr="004F2CCB">
        <w:rPr>
          <w:rFonts w:ascii="Bookman Old Style" w:hAnsi="Bookman Old Style"/>
          <w:b/>
          <w:color w:val="000000" w:themeColor="text1"/>
          <w:sz w:val="24"/>
          <w:szCs w:val="24"/>
          <w:u w:val="single"/>
        </w:rPr>
        <w:t>hearing</w:t>
      </w:r>
      <w:r w:rsidR="00494F68" w:rsidRPr="004F2CCB">
        <w:rPr>
          <w:rFonts w:ascii="Bookman Old Style" w:hAnsi="Bookman Old Style"/>
          <w:bCs/>
          <w:color w:val="000000" w:themeColor="text1"/>
          <w:sz w:val="24"/>
          <w:szCs w:val="24"/>
        </w:rPr>
        <w:t xml:space="preserve">. </w:t>
      </w:r>
      <w:r w:rsidR="00494F68" w:rsidRPr="004F2CCB">
        <w:rPr>
          <w:rFonts w:ascii="Bookman Old Style" w:hAnsi="Bookman Old Style"/>
          <w:bCs/>
          <w:sz w:val="24"/>
          <w:szCs w:val="24"/>
        </w:rPr>
        <w:t xml:space="preserve"> The Court will not accept unilateral statements and will </w:t>
      </w:r>
      <w:r w:rsidR="00494F68" w:rsidRPr="004F2CCB">
        <w:rPr>
          <w:rFonts w:ascii="Bookman Old Style" w:hAnsi="Bookman Old Style"/>
          <w:bCs/>
          <w:i/>
          <w:sz w:val="24"/>
          <w:szCs w:val="24"/>
        </w:rPr>
        <w:t>sua sponte</w:t>
      </w:r>
      <w:r w:rsidR="00494F68" w:rsidRPr="004F2CCB">
        <w:rPr>
          <w:rFonts w:ascii="Bookman Old Style" w:hAnsi="Bookman Old Style"/>
          <w:bCs/>
          <w:sz w:val="24"/>
          <w:szCs w:val="24"/>
        </w:rPr>
        <w:t xml:space="preserve"> strike any such submission.  </w:t>
      </w:r>
      <w:r w:rsidRPr="004F2CCB">
        <w:rPr>
          <w:rFonts w:ascii="Bookman Old Style" w:hAnsi="Bookman Old Style"/>
          <w:bCs/>
          <w:sz w:val="24"/>
          <w:szCs w:val="24"/>
        </w:rPr>
        <w:t>Should any of the parties fail to cooperate in the preparation of the joint stipulation, any other party may file a motion requesting an order to show cause why such party or parties (and/or their counsel) should not be held in contempt and sanctioned for failure to comply with this order.</w:t>
      </w:r>
      <w:r w:rsidR="00494F68" w:rsidRPr="004F2CCB">
        <w:rPr>
          <w:rFonts w:ascii="Bookman Old Style" w:hAnsi="Bookman Old Style"/>
          <w:bCs/>
          <w:sz w:val="24"/>
          <w:szCs w:val="24"/>
        </w:rPr>
        <w:t xml:space="preserve"> </w:t>
      </w:r>
      <w:r w:rsidR="006670A3" w:rsidRPr="004F2CCB">
        <w:rPr>
          <w:rFonts w:ascii="Bookman Old Style" w:hAnsi="Bookman Old Style"/>
          <w:bCs/>
          <w:sz w:val="24"/>
          <w:szCs w:val="24"/>
        </w:rPr>
        <w:tab/>
      </w:r>
      <w:r w:rsidR="006670A3" w:rsidRPr="004F2CCB">
        <w:rPr>
          <w:rFonts w:ascii="Bookman Old Style" w:hAnsi="Bookman Old Style"/>
          <w:bCs/>
          <w:sz w:val="24"/>
          <w:szCs w:val="24"/>
        </w:rPr>
        <w:br/>
      </w:r>
    </w:p>
    <w:p w14:paraId="5AEFD496" w14:textId="1FCBA3FD" w:rsidR="000F5257" w:rsidRPr="004F2CCB" w:rsidRDefault="00E51DD5" w:rsidP="006670A3">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REMOTE WITNESS TESTIMONY</w:t>
      </w:r>
      <w:r w:rsidRPr="004F2CCB">
        <w:rPr>
          <w:rFonts w:ascii="Bookman Old Style" w:hAnsi="Bookman Old Style"/>
          <w:sz w:val="24"/>
          <w:szCs w:val="24"/>
        </w:rPr>
        <w:t>.  In accordance with Federal Rule of Civil Procedure 43(a) (made applicable by Federal Rule of Bankruptcy Procedure 9017), for good cause and in compelling circumstances a witness may be permitted to testify</w:t>
      </w:r>
      <w:r w:rsidR="000A6334" w:rsidRPr="004F2CCB">
        <w:rPr>
          <w:rFonts w:ascii="Bookman Old Style" w:hAnsi="Bookman Old Style"/>
          <w:sz w:val="24"/>
          <w:szCs w:val="24"/>
        </w:rPr>
        <w:t xml:space="preserve"> by</w:t>
      </w:r>
      <w:r w:rsidRPr="004F2CCB">
        <w:rPr>
          <w:rFonts w:ascii="Bookman Old Style" w:hAnsi="Bookman Old Style"/>
          <w:sz w:val="24"/>
          <w:szCs w:val="24"/>
        </w:rPr>
        <w:t xml:space="preserve"> contemporaneous transmission from a location other than the courtroom.  </w:t>
      </w:r>
      <w:r w:rsidR="000F5257" w:rsidRPr="004F2CCB">
        <w:rPr>
          <w:rFonts w:ascii="Bookman Old Style" w:hAnsi="Bookman Old Style"/>
          <w:sz w:val="24"/>
          <w:szCs w:val="24"/>
        </w:rPr>
        <w:t xml:space="preserve">If a party wishing to present witness testimony seeks to have the witness appear remotely, the party must file a motion pursuant to Fed. R. Bank. P. 9017 no later than </w:t>
      </w:r>
      <w:r w:rsidR="000F5257" w:rsidRPr="004F2CCB">
        <w:rPr>
          <w:rFonts w:ascii="Bookman Old Style" w:hAnsi="Bookman Old Style"/>
          <w:b/>
          <w:bCs/>
          <w:sz w:val="24"/>
          <w:szCs w:val="24"/>
          <w:u w:val="single"/>
        </w:rPr>
        <w:t>21 days prior to the evidentiary hearing</w:t>
      </w:r>
      <w:r w:rsidR="000F5257" w:rsidRPr="004F2CCB">
        <w:rPr>
          <w:rFonts w:ascii="Bookman Old Style" w:hAnsi="Bookman Old Style"/>
          <w:sz w:val="24"/>
          <w:szCs w:val="24"/>
        </w:rPr>
        <w:t xml:space="preserve">. The motion must include the following: </w:t>
      </w:r>
    </w:p>
    <w:p w14:paraId="6C095FFF" w14:textId="77777777" w:rsidR="000F5257" w:rsidRPr="004F2CCB" w:rsidRDefault="000F5257" w:rsidP="00355073">
      <w:pPr>
        <w:pStyle w:val="ListParagraph"/>
        <w:rPr>
          <w:rFonts w:ascii="Bookman Old Style" w:hAnsi="Bookman Old Style"/>
          <w:sz w:val="24"/>
          <w:szCs w:val="24"/>
        </w:rPr>
      </w:pPr>
    </w:p>
    <w:p w14:paraId="2B55A546" w14:textId="65547CFE"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The particular reason why the witness must appear remotel</w:t>
      </w:r>
      <w:r w:rsidR="006F38A0">
        <w:rPr>
          <w:rFonts w:ascii="Bookman Old Style" w:hAnsi="Bookman Old Style"/>
          <w:sz w:val="24"/>
          <w:szCs w:val="24"/>
        </w:rPr>
        <w:t>y.</w:t>
      </w:r>
      <w:r w:rsidRPr="004F2CCB">
        <w:rPr>
          <w:rFonts w:ascii="Bookman Old Style" w:hAnsi="Bookman Old Style"/>
          <w:sz w:val="24"/>
          <w:szCs w:val="24"/>
        </w:rPr>
        <w:tab/>
      </w:r>
    </w:p>
    <w:p w14:paraId="0FB22D00" w14:textId="630DB139"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Her or his name and title (if applicable).</w:t>
      </w:r>
      <w:r w:rsidRPr="004F2CCB">
        <w:rPr>
          <w:rFonts w:ascii="Bookman Old Style" w:hAnsi="Bookman Old Style"/>
          <w:sz w:val="24"/>
          <w:szCs w:val="24"/>
        </w:rPr>
        <w:tab/>
      </w:r>
      <w:r w:rsidRPr="004F2CCB">
        <w:rPr>
          <w:rFonts w:ascii="Bookman Old Style" w:hAnsi="Bookman Old Style"/>
          <w:sz w:val="24"/>
          <w:szCs w:val="24"/>
        </w:rPr>
        <w:br/>
      </w:r>
    </w:p>
    <w:p w14:paraId="4174FFD0" w14:textId="754C0505"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Matter(s) on which the remote witness will provide testimony.</w:t>
      </w:r>
      <w:r w:rsidRPr="004F2CCB">
        <w:rPr>
          <w:rFonts w:ascii="Bookman Old Style" w:hAnsi="Bookman Old Style"/>
          <w:sz w:val="24"/>
          <w:szCs w:val="24"/>
        </w:rPr>
        <w:tab/>
      </w:r>
      <w:r w:rsidRPr="004F2CCB">
        <w:rPr>
          <w:rFonts w:ascii="Bookman Old Style" w:hAnsi="Bookman Old Style"/>
          <w:sz w:val="24"/>
          <w:szCs w:val="24"/>
        </w:rPr>
        <w:tab/>
      </w:r>
    </w:p>
    <w:p w14:paraId="4086ABD9" w14:textId="22028554"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The city, state, and country where the remote witness will be located while testifying. </w:t>
      </w:r>
      <w:r w:rsidRPr="004F2CCB">
        <w:rPr>
          <w:rFonts w:ascii="Bookman Old Style" w:hAnsi="Bookman Old Style"/>
          <w:sz w:val="24"/>
          <w:szCs w:val="24"/>
        </w:rPr>
        <w:tab/>
      </w:r>
      <w:r w:rsidRPr="004F2CCB">
        <w:rPr>
          <w:rFonts w:ascii="Bookman Old Style" w:hAnsi="Bookman Old Style"/>
          <w:sz w:val="24"/>
          <w:szCs w:val="24"/>
        </w:rPr>
        <w:br/>
      </w:r>
    </w:p>
    <w:p w14:paraId="097B8325" w14:textId="55C1B07F"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The type of place from which the remote witness will testify, such as a home or an office.  No addresses are required.  </w:t>
      </w:r>
      <w:r w:rsidRPr="004F2CCB">
        <w:rPr>
          <w:rFonts w:ascii="Bookman Old Style" w:hAnsi="Bookman Old Style"/>
          <w:sz w:val="24"/>
          <w:szCs w:val="24"/>
        </w:rPr>
        <w:tab/>
      </w:r>
      <w:r w:rsidRPr="004F2CCB">
        <w:rPr>
          <w:rFonts w:ascii="Bookman Old Style" w:hAnsi="Bookman Old Style"/>
          <w:sz w:val="24"/>
          <w:szCs w:val="24"/>
        </w:rPr>
        <w:br/>
      </w:r>
    </w:p>
    <w:p w14:paraId="6262D7B7" w14:textId="3C632430"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Whether anyone will be in the room with the remote witness during the testimony and, if so, for each such person, the person’s name, title, relationship to the remote witness, and purpose for being present with the witness.</w:t>
      </w:r>
      <w:r w:rsidRPr="004F2CCB">
        <w:rPr>
          <w:rFonts w:ascii="Bookman Old Style" w:hAnsi="Bookman Old Style"/>
          <w:sz w:val="24"/>
          <w:szCs w:val="24"/>
        </w:rPr>
        <w:br/>
      </w:r>
    </w:p>
    <w:p w14:paraId="625EDB21" w14:textId="42702379" w:rsidR="000F5257"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Whether the remote witness will have access to any documents other than exhibits that have been provided to the Court and the parties and, if so, identifying each such document.</w:t>
      </w:r>
    </w:p>
    <w:p w14:paraId="3B4AE13A" w14:textId="00A4E1FB" w:rsidR="000F5257" w:rsidRPr="004F2CCB" w:rsidRDefault="000F5257" w:rsidP="000F5257">
      <w:pPr>
        <w:jc w:val="both"/>
        <w:rPr>
          <w:rFonts w:ascii="Bookman Old Style" w:hAnsi="Bookman Old Style"/>
          <w:sz w:val="24"/>
          <w:szCs w:val="24"/>
        </w:rPr>
      </w:pPr>
    </w:p>
    <w:p w14:paraId="507E0FE8" w14:textId="40C9D7AF" w:rsidR="000F5257" w:rsidRPr="004F2CCB" w:rsidRDefault="006670A3" w:rsidP="00355073">
      <w:pPr>
        <w:ind w:left="1440"/>
        <w:jc w:val="both"/>
        <w:rPr>
          <w:rFonts w:ascii="Bookman Old Style" w:hAnsi="Bookman Old Style"/>
          <w:sz w:val="24"/>
          <w:szCs w:val="24"/>
        </w:rPr>
      </w:pPr>
      <w:r w:rsidRPr="004F2CCB">
        <w:rPr>
          <w:rFonts w:ascii="Bookman Old Style" w:hAnsi="Bookman Old Style"/>
          <w:sz w:val="24"/>
          <w:szCs w:val="24"/>
        </w:rPr>
        <w:t xml:space="preserve">If </w:t>
      </w:r>
      <w:bookmarkStart w:id="0" w:name="OLE_LINK10"/>
      <w:bookmarkStart w:id="1" w:name="OLE_LINK9"/>
      <w:r w:rsidRPr="004F2CCB">
        <w:rPr>
          <w:rFonts w:ascii="Bookman Old Style" w:hAnsi="Bookman Old Style"/>
          <w:sz w:val="24"/>
          <w:szCs w:val="24"/>
        </w:rPr>
        <w:t>the remote witness cannot testify from the office of someone who can administer the oath, the Court will administer the oath to each remote witness during the video conference and witness testimony will have the same effect and be binding upon each remote witness in the same manner as if such remote witness was sworn in by the Court in person in open court</w:t>
      </w:r>
      <w:bookmarkEnd w:id="0"/>
      <w:bookmarkEnd w:id="1"/>
      <w:r w:rsidR="00415424" w:rsidRPr="004F2CCB">
        <w:rPr>
          <w:rFonts w:ascii="Bookman Old Style" w:hAnsi="Bookman Old Style"/>
          <w:sz w:val="24"/>
          <w:szCs w:val="24"/>
        </w:rPr>
        <w:t>.</w:t>
      </w:r>
    </w:p>
    <w:p w14:paraId="1B67A0B1" w14:textId="718C55A7" w:rsidR="007432CA" w:rsidRPr="004F2CCB" w:rsidRDefault="007432CA" w:rsidP="006F38A0">
      <w:pPr>
        <w:jc w:val="both"/>
        <w:rPr>
          <w:rFonts w:ascii="Bookman Old Style" w:hAnsi="Bookman Old Style"/>
          <w:sz w:val="24"/>
          <w:szCs w:val="24"/>
        </w:rPr>
      </w:pPr>
    </w:p>
    <w:p w14:paraId="53D313F3" w14:textId="1DEAB73D" w:rsidR="00494F68" w:rsidRPr="004F2CCB" w:rsidRDefault="005C062A"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RESPONSIBILITY</w:t>
      </w:r>
      <w:r w:rsidR="007432CA" w:rsidRPr="004F2CCB">
        <w:rPr>
          <w:rFonts w:ascii="Bookman Old Style" w:hAnsi="Bookman Old Style"/>
          <w:b/>
          <w:bCs/>
          <w:sz w:val="24"/>
          <w:szCs w:val="24"/>
          <w:u w:val="single"/>
        </w:rPr>
        <w:t xml:space="preserve"> FOR REMOTE WITNESSES</w:t>
      </w:r>
      <w:r w:rsidR="007432CA" w:rsidRPr="004F2CCB">
        <w:rPr>
          <w:rFonts w:ascii="Bookman Old Style" w:hAnsi="Bookman Old Style"/>
          <w:sz w:val="24"/>
          <w:szCs w:val="24"/>
        </w:rPr>
        <w:t xml:space="preserve">. </w:t>
      </w:r>
      <w:bookmarkStart w:id="2" w:name="OLE_LINK12"/>
      <w:bookmarkStart w:id="3" w:name="OLE_LINK11"/>
      <w:r w:rsidR="006670A3" w:rsidRPr="004F2CCB">
        <w:rPr>
          <w:rFonts w:ascii="Bookman Old Style" w:hAnsi="Bookman Old Style"/>
          <w:sz w:val="24"/>
          <w:szCs w:val="24"/>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bookmarkEnd w:id="2"/>
      <w:bookmarkEnd w:id="3"/>
      <w:r w:rsidR="006670A3" w:rsidRPr="004F2CCB">
        <w:rPr>
          <w:rFonts w:ascii="Bookman Old Style" w:hAnsi="Bookman Old Style"/>
          <w:sz w:val="24"/>
          <w:szCs w:val="24"/>
        </w:rPr>
        <w:t xml:space="preserve">. </w:t>
      </w:r>
    </w:p>
    <w:p w14:paraId="0145782A" w14:textId="77777777" w:rsidR="00052303" w:rsidRPr="004F2CCB" w:rsidRDefault="00052303" w:rsidP="001B7AEF">
      <w:pPr>
        <w:pStyle w:val="ListParagraph"/>
        <w:ind w:hanging="720"/>
        <w:rPr>
          <w:rFonts w:ascii="Bookman Old Style" w:hAnsi="Bookman Old Style"/>
          <w:sz w:val="24"/>
          <w:szCs w:val="24"/>
        </w:rPr>
      </w:pPr>
    </w:p>
    <w:p w14:paraId="3845E594" w14:textId="77777777" w:rsidR="00052303" w:rsidRPr="004F2CCB" w:rsidRDefault="00052303"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DIRECT TESTIMONY BY DECLARATION</w:t>
      </w:r>
      <w:r w:rsidRPr="004F2CCB">
        <w:rPr>
          <w:rFonts w:ascii="Bookman Old Style" w:hAnsi="Bookman Old Style"/>
          <w:sz w:val="24"/>
          <w:szCs w:val="24"/>
        </w:rPr>
        <w:t xml:space="preserve">. At each party’s option, </w:t>
      </w:r>
      <w:r w:rsidRPr="004F2CCB">
        <w:rPr>
          <w:rFonts w:ascii="Bookman Old Style" w:hAnsi="Bookman Old Style"/>
          <w:i/>
          <w:sz w:val="24"/>
          <w:szCs w:val="24"/>
        </w:rPr>
        <w:t>except in a contested matter where a party is self-represented</w:t>
      </w:r>
      <w:r w:rsidRPr="004F2CCB">
        <w:rPr>
          <w:rFonts w:ascii="Bookman Old Style" w:hAnsi="Bookman Old Style"/>
          <w:sz w:val="24"/>
          <w:szCs w:val="24"/>
        </w:rPr>
        <w:t xml:space="preserve">, the direct testimony of any witness, except an adverse, hostile, or rebuttal witness, may be presented by sworn declaration consisting of a succinct written statement of the direct testimony that the witness would be prepared to give if questions were propounded in the usual fashion at the hearing. If a party offers a sworn declaration in lieu of direct testimony: </w:t>
      </w:r>
    </w:p>
    <w:p w14:paraId="6C853E99" w14:textId="77777777" w:rsidR="00052303" w:rsidRPr="004F2CCB" w:rsidRDefault="00052303" w:rsidP="001B7AEF">
      <w:pPr>
        <w:ind w:hanging="720"/>
        <w:jc w:val="both"/>
        <w:rPr>
          <w:rFonts w:ascii="Bookman Old Style" w:hAnsi="Bookman Old Style"/>
          <w:sz w:val="24"/>
          <w:szCs w:val="24"/>
        </w:rPr>
      </w:pPr>
    </w:p>
    <w:p w14:paraId="4EBF59A2" w14:textId="6C8B82F5"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statement shall substantially conform to Local Form 63B and shall be signed by the declarant under penalty of perjury</w:t>
      </w:r>
      <w:r w:rsidR="006F38A0">
        <w:rPr>
          <w:rFonts w:ascii="Bookman Old Style" w:hAnsi="Bookman Old Style"/>
          <w:sz w:val="24"/>
          <w:szCs w:val="24"/>
        </w:rPr>
        <w:t>;</w:t>
      </w:r>
      <w:r w:rsidRPr="004F2CCB">
        <w:rPr>
          <w:rFonts w:ascii="Bookman Old Style" w:hAnsi="Bookman Old Style"/>
          <w:sz w:val="24"/>
          <w:szCs w:val="24"/>
        </w:rPr>
        <w:t xml:space="preserve"> </w:t>
      </w:r>
    </w:p>
    <w:p w14:paraId="1DDE84FA" w14:textId="77777777" w:rsidR="00052303" w:rsidRPr="004F2CCB" w:rsidRDefault="00052303" w:rsidP="001B7AEF">
      <w:pPr>
        <w:pStyle w:val="ListParagraph"/>
        <w:ind w:left="2160" w:hanging="720"/>
        <w:jc w:val="both"/>
        <w:rPr>
          <w:rFonts w:ascii="Bookman Old Style" w:hAnsi="Bookman Old Style"/>
          <w:sz w:val="24"/>
          <w:szCs w:val="24"/>
        </w:rPr>
      </w:pPr>
    </w:p>
    <w:p w14:paraId="7CA03E96"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Each statement of fact shall be separate, shall be sequentially numbered, and shall contain only facts that are relevant and material to the contested issue before the Court, avoiding redundancies, hearsay, and other obviously objectionable statements;</w:t>
      </w:r>
    </w:p>
    <w:p w14:paraId="2A8E038B" w14:textId="77777777" w:rsidR="00052303" w:rsidRPr="004F2CCB" w:rsidRDefault="00052303" w:rsidP="001B7AEF">
      <w:pPr>
        <w:ind w:hanging="720"/>
        <w:jc w:val="both"/>
        <w:rPr>
          <w:rFonts w:ascii="Bookman Old Style" w:hAnsi="Bookman Old Style"/>
          <w:sz w:val="24"/>
          <w:szCs w:val="24"/>
        </w:rPr>
      </w:pPr>
    </w:p>
    <w:p w14:paraId="252AB980"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statement may be referenced as the witness’ “sworn declaration of fact”;</w:t>
      </w:r>
    </w:p>
    <w:p w14:paraId="731B1A58" w14:textId="77777777" w:rsidR="00052303" w:rsidRPr="004F2CCB" w:rsidRDefault="00052303" w:rsidP="001B7AEF">
      <w:pPr>
        <w:ind w:hanging="720"/>
        <w:jc w:val="both"/>
        <w:rPr>
          <w:rFonts w:ascii="Bookman Old Style" w:hAnsi="Bookman Old Style"/>
          <w:sz w:val="24"/>
          <w:szCs w:val="24"/>
        </w:rPr>
      </w:pPr>
    </w:p>
    <w:p w14:paraId="71CEA0AB"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 xml:space="preserve">The </w:t>
      </w:r>
      <w:r w:rsidRPr="004F2CCB">
        <w:rPr>
          <w:rFonts w:ascii="Bookman Old Style" w:hAnsi="Bookman Old Style"/>
          <w:b/>
          <w:sz w:val="24"/>
          <w:szCs w:val="24"/>
        </w:rPr>
        <w:t>original</w:t>
      </w:r>
      <w:r w:rsidRPr="004F2CCB">
        <w:rPr>
          <w:rFonts w:ascii="Bookman Old Style" w:hAnsi="Bookman Old Style"/>
          <w:sz w:val="24"/>
          <w:szCs w:val="24"/>
        </w:rPr>
        <w:t xml:space="preserve"> sworn declaration of fact shall be marked as a proposed exhibit and filed and delivered as otherwise required by this Order;</w:t>
      </w:r>
    </w:p>
    <w:p w14:paraId="1EF6C652" w14:textId="77777777" w:rsidR="00052303" w:rsidRPr="004F2CCB" w:rsidRDefault="00052303" w:rsidP="001B7AEF">
      <w:pPr>
        <w:ind w:left="1440" w:hanging="720"/>
        <w:jc w:val="both"/>
        <w:rPr>
          <w:rFonts w:ascii="Bookman Old Style" w:hAnsi="Bookman Old Style"/>
          <w:sz w:val="24"/>
          <w:szCs w:val="24"/>
        </w:rPr>
      </w:pPr>
    </w:p>
    <w:p w14:paraId="7C22F78D"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 xml:space="preserve">Objections to any portion of a sworn declaration of fact may be raised at the time the sworn declaration of fact is offered to the Court. The witness shall then be sworn in and asked if the sworn declaration of fact correctly reflects the testimony that would be given if the witness was asked the appropriate questions.  Opposing counsel may then cross-examine the </w:t>
      </w:r>
      <w:r w:rsidRPr="004F2CCB">
        <w:rPr>
          <w:rFonts w:ascii="Bookman Old Style" w:hAnsi="Bookman Old Style"/>
          <w:sz w:val="24"/>
          <w:szCs w:val="24"/>
        </w:rPr>
        <w:lastRenderedPageBreak/>
        <w:t>witness. At the conclusion of cross-examination, the party whose witness is on the stand may conduct redirect examination in the usual manner; and</w:t>
      </w:r>
    </w:p>
    <w:p w14:paraId="647FCC2A" w14:textId="77777777" w:rsidR="00052303" w:rsidRPr="004F2CCB" w:rsidRDefault="00052303" w:rsidP="001B7AEF">
      <w:pPr>
        <w:ind w:hanging="720"/>
        <w:jc w:val="both"/>
        <w:rPr>
          <w:rFonts w:ascii="Bookman Old Style" w:hAnsi="Bookman Old Style"/>
          <w:sz w:val="24"/>
          <w:szCs w:val="24"/>
        </w:rPr>
      </w:pPr>
    </w:p>
    <w:p w14:paraId="793D0AE8" w14:textId="66C8AAED" w:rsidR="00494F68" w:rsidRPr="004F2CCB" w:rsidRDefault="00052303" w:rsidP="00355073">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Court may require that direct testimony be provided in the usual manner during the hearing even if a sworn declaration of fact is offered.</w:t>
      </w:r>
    </w:p>
    <w:p w14:paraId="0FE465CB" w14:textId="77777777" w:rsidR="00342DCA" w:rsidRPr="004F2CCB" w:rsidRDefault="00342DCA" w:rsidP="006F38A0">
      <w:pPr>
        <w:rPr>
          <w:rFonts w:ascii="Bookman Old Style" w:hAnsi="Bookman Old Style"/>
          <w:sz w:val="24"/>
          <w:szCs w:val="24"/>
        </w:rPr>
      </w:pPr>
    </w:p>
    <w:p w14:paraId="319087E0" w14:textId="77777777" w:rsidR="00A970D9" w:rsidRDefault="007128E6" w:rsidP="00355073">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CONDUCT DURING EVIDENTIARY HEARING</w:t>
      </w:r>
      <w:r w:rsidRPr="004F2CCB">
        <w:rPr>
          <w:rFonts w:ascii="Bookman Old Style" w:hAnsi="Bookman Old Style"/>
          <w:sz w:val="24"/>
          <w:szCs w:val="24"/>
        </w:rPr>
        <w:t>. Other than the attorneys questioning a witness on direct examination or cross-examination, no person shall communicate with a witness during his or her testimony unless specifically authorized by the Court.</w:t>
      </w:r>
    </w:p>
    <w:p w14:paraId="2ADA6579" w14:textId="4D903D67" w:rsidR="007128E6" w:rsidRPr="00A970D9" w:rsidRDefault="007128E6" w:rsidP="00A970D9">
      <w:pPr>
        <w:jc w:val="both"/>
        <w:rPr>
          <w:rFonts w:ascii="Bookman Old Style" w:hAnsi="Bookman Old Style"/>
          <w:sz w:val="24"/>
          <w:szCs w:val="24"/>
        </w:rPr>
      </w:pPr>
      <w:r w:rsidRPr="00A970D9">
        <w:rPr>
          <w:rFonts w:ascii="Bookman Old Style" w:hAnsi="Bookman Old Style"/>
          <w:sz w:val="24"/>
          <w:szCs w:val="24"/>
        </w:rPr>
        <w:t xml:space="preserve">  </w:t>
      </w:r>
    </w:p>
    <w:p w14:paraId="5EEC5088" w14:textId="7365C08C" w:rsidR="007128E6" w:rsidRPr="00FB4981" w:rsidRDefault="008C0A34" w:rsidP="004D5E59">
      <w:pPr>
        <w:pStyle w:val="ListParagraph"/>
        <w:numPr>
          <w:ilvl w:val="0"/>
          <w:numId w:val="7"/>
        </w:numPr>
        <w:ind w:hanging="720"/>
        <w:jc w:val="both"/>
        <w:rPr>
          <w:rFonts w:ascii="Bookman Old Style" w:hAnsi="Bookman Old Style"/>
          <w:sz w:val="24"/>
          <w:szCs w:val="24"/>
        </w:rPr>
      </w:pPr>
      <w:r w:rsidRPr="002D3E62">
        <w:rPr>
          <w:rFonts w:ascii="Bookman Old Style" w:hAnsi="Bookman Old Style"/>
          <w:b/>
          <w:bCs/>
          <w:sz w:val="24"/>
          <w:szCs w:val="24"/>
          <w:u w:val="single"/>
        </w:rPr>
        <w:t>PRESENTATION OF EXHIBITS DURING EVIDENTIARY HEARING</w:t>
      </w:r>
      <w:r w:rsidR="00A970D9" w:rsidRPr="002D3E62">
        <w:rPr>
          <w:rFonts w:ascii="Bookman Old Style" w:hAnsi="Bookman Old Style"/>
          <w:b/>
          <w:bCs/>
          <w:sz w:val="24"/>
          <w:szCs w:val="24"/>
          <w:u w:val="single"/>
        </w:rPr>
        <w:t>.</w:t>
      </w:r>
      <w:r w:rsidR="00A970D9" w:rsidRPr="002D3E62">
        <w:rPr>
          <w:rFonts w:ascii="Bookman Old Style" w:hAnsi="Bookman Old Style"/>
          <w:b/>
          <w:bCs/>
          <w:sz w:val="24"/>
          <w:szCs w:val="24"/>
        </w:rPr>
        <w:t xml:space="preserve"> </w:t>
      </w:r>
      <w:r w:rsidR="00A970D9" w:rsidRPr="002D3E62">
        <w:rPr>
          <w:rFonts w:ascii="Bookman Old Style" w:hAnsi="Bookman Old Style"/>
          <w:sz w:val="24"/>
          <w:szCs w:val="24"/>
        </w:rPr>
        <w:t>Parties are</w:t>
      </w:r>
      <w:r w:rsidR="0013681E" w:rsidRPr="002D3E62">
        <w:rPr>
          <w:rFonts w:ascii="Bookman Old Style" w:hAnsi="Bookman Old Style"/>
          <w:sz w:val="24"/>
          <w:szCs w:val="24"/>
        </w:rPr>
        <w:t xml:space="preserve"> strongly</w:t>
      </w:r>
      <w:r w:rsidR="00A970D9" w:rsidRPr="002D3E62">
        <w:rPr>
          <w:rFonts w:ascii="Bookman Old Style" w:hAnsi="Bookman Old Style"/>
          <w:sz w:val="24"/>
          <w:szCs w:val="24"/>
        </w:rPr>
        <w:t xml:space="preserve"> encouraged to use</w:t>
      </w:r>
      <w:r w:rsidR="007F33D2" w:rsidRPr="004D5E59">
        <w:rPr>
          <w:rFonts w:ascii="Bookman Old Style" w:hAnsi="Bookman Old Style"/>
          <w:sz w:val="24"/>
          <w:szCs w:val="24"/>
        </w:rPr>
        <w:t xml:space="preserve"> the Court’s information technology equipment to show exhibits at the evidentiary hearing. The parties are further encouraged to contact</w:t>
      </w:r>
      <w:r w:rsidR="00FB4981" w:rsidRPr="004D5E59">
        <w:rPr>
          <w:rFonts w:ascii="Bookman Old Style" w:hAnsi="Bookman Old Style"/>
          <w:sz w:val="24"/>
          <w:szCs w:val="24"/>
        </w:rPr>
        <w:t xml:space="preserve"> IT Services at </w:t>
      </w:r>
      <w:hyperlink r:id="rId9" w:history="1">
        <w:r w:rsidR="000E5E0A" w:rsidRPr="006948A7">
          <w:rPr>
            <w:rStyle w:val="Hyperlink"/>
            <w:rFonts w:ascii="Bookman Old Style" w:hAnsi="Bookman Old Style"/>
            <w:sz w:val="24"/>
            <w:szCs w:val="24"/>
          </w:rPr>
          <w:t>FLSBml_IT_Services@flsb.uscourts.gov</w:t>
        </w:r>
      </w:hyperlink>
      <w:r w:rsidR="000E5E0A">
        <w:rPr>
          <w:rFonts w:ascii="Bookman Old Style" w:hAnsi="Bookman Old Style"/>
          <w:sz w:val="24"/>
          <w:szCs w:val="24"/>
        </w:rPr>
        <w:t xml:space="preserve"> </w:t>
      </w:r>
      <w:r w:rsidR="00FB4981" w:rsidRPr="004D5E59">
        <w:rPr>
          <w:rFonts w:ascii="Bookman Old Style" w:hAnsi="Bookman Old Style"/>
          <w:sz w:val="24"/>
          <w:szCs w:val="24"/>
        </w:rPr>
        <w:t>to arrange an opportunity to test your presentation on the courtroom equipment prior to the evidentiary hearing.</w:t>
      </w:r>
      <w:r w:rsidR="00C74252" w:rsidRPr="004D5E59">
        <w:rPr>
          <w:rFonts w:ascii="Bookman Old Style" w:hAnsi="Bookman Old Style"/>
          <w:sz w:val="24"/>
          <w:szCs w:val="24"/>
        </w:rPr>
        <w:t xml:space="preserve"> </w:t>
      </w:r>
      <w:r w:rsidR="00AC7105">
        <w:rPr>
          <w:rFonts w:ascii="Bookman Old Style" w:hAnsi="Bookman Old Style"/>
          <w:sz w:val="24"/>
          <w:szCs w:val="24"/>
        </w:rPr>
        <w:br/>
      </w:r>
      <w:r w:rsidR="00AC7105">
        <w:rPr>
          <w:rFonts w:ascii="Bookman Old Style" w:hAnsi="Bookman Old Style"/>
          <w:sz w:val="24"/>
          <w:szCs w:val="24"/>
        </w:rPr>
        <w:br/>
      </w:r>
      <w:r w:rsidR="007F33D2" w:rsidRPr="004D5E59">
        <w:rPr>
          <w:rFonts w:ascii="Bookman Old Style" w:hAnsi="Bookman Old Style"/>
          <w:sz w:val="24"/>
          <w:szCs w:val="24"/>
        </w:rPr>
        <w:t>Unless otherwise ordered, each party must bring at least one paper copy of its exhibit register for the Court’s use, and at least two hardcopy books of all its exhibits, for witnesses and the Court</w:t>
      </w:r>
      <w:r w:rsidR="00C74252" w:rsidRPr="004D5E59">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br/>
      </w:r>
    </w:p>
    <w:p w14:paraId="11084F5B" w14:textId="7BED6FF0"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FINAL ARGUMENT</w:t>
      </w:r>
      <w:r w:rsidRPr="004F2CCB">
        <w:rPr>
          <w:rFonts w:ascii="Bookman Old Style" w:hAnsi="Bookman Old Style"/>
          <w:sz w:val="24"/>
          <w:szCs w:val="24"/>
        </w:rPr>
        <w:t xml:space="preserve">.  At the conclusion of the evidentiary hearing, in lieu of </w:t>
      </w:r>
      <w:r w:rsidR="00686051" w:rsidRPr="004F2CCB">
        <w:rPr>
          <w:rFonts w:ascii="Bookman Old Style" w:hAnsi="Bookman Old Style"/>
          <w:sz w:val="24"/>
          <w:szCs w:val="24"/>
        </w:rPr>
        <w:t>final argument, the C</w:t>
      </w:r>
      <w:r w:rsidRPr="004F2CCB">
        <w:rPr>
          <w:rFonts w:ascii="Bookman Old Style" w:hAnsi="Bookman Old Style"/>
          <w:sz w:val="24"/>
          <w:szCs w:val="24"/>
        </w:rPr>
        <w:t xml:space="preserve">ourt may request that each party </w:t>
      </w:r>
      <w:r w:rsidR="00A15C78" w:rsidRPr="004F2CCB">
        <w:rPr>
          <w:rFonts w:ascii="Bookman Old Style" w:hAnsi="Bookman Old Style"/>
          <w:sz w:val="24"/>
          <w:szCs w:val="24"/>
        </w:rPr>
        <w:t>file</w:t>
      </w:r>
      <w:r w:rsidR="005F73EE" w:rsidRPr="004F2CCB">
        <w:rPr>
          <w:rFonts w:ascii="Bookman Old Style" w:hAnsi="Bookman Old Style"/>
          <w:sz w:val="24"/>
          <w:szCs w:val="24"/>
        </w:rPr>
        <w:t xml:space="preserve"> with the Court (a) a written closing statement with supporting legal argument or (b)</w:t>
      </w:r>
      <w:r w:rsidRPr="004F2CCB">
        <w:rPr>
          <w:rFonts w:ascii="Bookman Old Style" w:hAnsi="Bookman Old Style"/>
          <w:sz w:val="24"/>
          <w:szCs w:val="24"/>
        </w:rPr>
        <w:t xml:space="preserve"> a proposed memorandum opinion with findings of fact and conclusions of law</w:t>
      </w:r>
      <w:r w:rsidR="005F73EE" w:rsidRPr="004F2CCB">
        <w:rPr>
          <w:rFonts w:ascii="Bookman Old Style" w:hAnsi="Bookman Old Style"/>
          <w:sz w:val="24"/>
          <w:szCs w:val="24"/>
        </w:rPr>
        <w:t xml:space="preserve"> with a separate proposed final judgment. Each submission must contain individually numbered paragraphs and follow the formatting requirements set forth in Part Two of the Court’s Guidelines for Preparing, Submitting, and Serving Orders. Each proposed finding of fact must be supported by a citation to the record, or it will be disregarded. </w:t>
      </w:r>
      <w:r w:rsidR="00A42A9B" w:rsidRPr="004F2CCB">
        <w:rPr>
          <w:rFonts w:ascii="Bookman Old Style" w:hAnsi="Bookman Old Style"/>
          <w:sz w:val="24"/>
          <w:szCs w:val="24"/>
        </w:rPr>
        <w:t xml:space="preserve">Each proposed conclusion of law must be supported by a citation to applicable law, or it will be disregarded. Absent prior permission of the Court, submissions may not exceed a total of </w:t>
      </w:r>
      <w:r w:rsidR="00A42A9B" w:rsidRPr="004F2CCB">
        <w:rPr>
          <w:rFonts w:ascii="Bookman Old Style" w:hAnsi="Bookman Old Style"/>
          <w:b/>
          <w:bCs/>
          <w:sz w:val="24"/>
          <w:szCs w:val="24"/>
        </w:rPr>
        <w:t>twenty pages</w:t>
      </w:r>
      <w:r w:rsidR="00A42A9B" w:rsidRPr="004F2CCB">
        <w:rPr>
          <w:rFonts w:ascii="Bookman Old Style" w:hAnsi="Bookman Old Style"/>
          <w:sz w:val="24"/>
          <w:szCs w:val="24"/>
        </w:rPr>
        <w:t xml:space="preserve">. If specifically requested, the Court may </w:t>
      </w:r>
      <w:r w:rsidR="00A42A9B" w:rsidRPr="004F2CCB">
        <w:rPr>
          <w:rFonts w:ascii="Bookman Old Style" w:hAnsi="Bookman Old Style"/>
          <w:i/>
          <w:iCs/>
          <w:sz w:val="24"/>
          <w:szCs w:val="24"/>
        </w:rPr>
        <w:t xml:space="preserve">also </w:t>
      </w:r>
      <w:r w:rsidR="00A42A9B" w:rsidRPr="004F2CCB">
        <w:rPr>
          <w:rFonts w:ascii="Bookman Old Style" w:hAnsi="Bookman Old Style"/>
          <w:sz w:val="24"/>
          <w:szCs w:val="24"/>
        </w:rPr>
        <w:t xml:space="preserve">direct the parties to submit a copy of the proposed memorandum opinion with findings of fact and conclusions of law, along with a copy of the separate proposed final judgment, in word processing format to an electronic mailbox designated by the Court. The filer must include in the “subject” line of the email the case name and number and the date of the relevant hearing. </w:t>
      </w:r>
    </w:p>
    <w:p w14:paraId="0C9504C2" w14:textId="6BBA285F" w:rsidR="00A42C2F" w:rsidRPr="004F2CCB" w:rsidRDefault="009C73A9" w:rsidP="001B7AEF">
      <w:pPr>
        <w:pStyle w:val="ListParagraph"/>
        <w:ind w:left="1440" w:hanging="720"/>
        <w:jc w:val="both"/>
        <w:rPr>
          <w:rFonts w:ascii="Bookman Old Style" w:hAnsi="Bookman Old Style"/>
          <w:sz w:val="24"/>
          <w:szCs w:val="24"/>
        </w:rPr>
      </w:pPr>
      <w:r w:rsidRPr="004F2CCB">
        <w:rPr>
          <w:rFonts w:ascii="Bookman Old Style" w:hAnsi="Bookman Old Style"/>
          <w:sz w:val="24"/>
          <w:szCs w:val="24"/>
        </w:rPr>
        <w:t xml:space="preserve">    </w:t>
      </w:r>
    </w:p>
    <w:p w14:paraId="42045A0A" w14:textId="766C5177"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lastRenderedPageBreak/>
        <w:t>SETTLEMENT</w:t>
      </w:r>
      <w:r w:rsidRPr="004F2CCB">
        <w:rPr>
          <w:rFonts w:ascii="Bookman Old Style" w:hAnsi="Bookman Old Style"/>
          <w:sz w:val="24"/>
          <w:szCs w:val="24"/>
        </w:rPr>
        <w:t xml:space="preserve">.  If the contested matter is settled, the parties shall submit to </w:t>
      </w:r>
      <w:r w:rsidR="00686051" w:rsidRPr="004F2CCB">
        <w:rPr>
          <w:rFonts w:ascii="Bookman Old Style" w:hAnsi="Bookman Old Style"/>
          <w:sz w:val="24"/>
          <w:szCs w:val="24"/>
        </w:rPr>
        <w:t>the C</w:t>
      </w:r>
      <w:r w:rsidRPr="004F2CCB">
        <w:rPr>
          <w:rFonts w:ascii="Bookman Old Style" w:hAnsi="Bookman Old Style"/>
          <w:sz w:val="24"/>
          <w:szCs w:val="24"/>
        </w:rPr>
        <w:t xml:space="preserve">ourt a stipulation approved by all parties and a motion for approval of the same prior to the date of the evidentiary hearing. </w:t>
      </w:r>
      <w:r w:rsidR="00686051" w:rsidRPr="004F2CCB">
        <w:rPr>
          <w:rFonts w:ascii="Bookman Old Style" w:hAnsi="Bookman Old Style"/>
          <w:sz w:val="24"/>
          <w:szCs w:val="24"/>
        </w:rPr>
        <w:t xml:space="preserve"> </w:t>
      </w:r>
      <w:r w:rsidRPr="004F2CCB">
        <w:rPr>
          <w:rFonts w:ascii="Bookman Old Style" w:hAnsi="Bookman Old Style"/>
          <w:sz w:val="24"/>
          <w:szCs w:val="24"/>
        </w:rPr>
        <w:t>If a stipulation and motion are not submitted t</w:t>
      </w:r>
      <w:r w:rsidR="00686051" w:rsidRPr="004F2CCB">
        <w:rPr>
          <w:rFonts w:ascii="Bookman Old Style" w:hAnsi="Bookman Old Style"/>
          <w:sz w:val="24"/>
          <w:szCs w:val="24"/>
        </w:rPr>
        <w:t>o the C</w:t>
      </w:r>
      <w:r w:rsidRPr="004F2CCB">
        <w:rPr>
          <w:rFonts w:ascii="Bookman Old Style" w:hAnsi="Bookman Old Style"/>
          <w:sz w:val="24"/>
          <w:szCs w:val="24"/>
        </w:rPr>
        <w:t>ourt, all parties shall be prepared to proceed with the evidentiary hearing.</w:t>
      </w:r>
      <w:r w:rsidR="00686051" w:rsidRPr="004F2CCB">
        <w:rPr>
          <w:rFonts w:ascii="Bookman Old Style" w:hAnsi="Bookman Old Style"/>
          <w:sz w:val="24"/>
          <w:szCs w:val="24"/>
        </w:rPr>
        <w:t xml:space="preserve"> </w:t>
      </w:r>
      <w:r w:rsidRPr="004F2CCB">
        <w:rPr>
          <w:rFonts w:ascii="Bookman Old Style" w:hAnsi="Bookman Old Style"/>
          <w:sz w:val="24"/>
          <w:szCs w:val="24"/>
        </w:rPr>
        <w:t xml:space="preserve"> If the contested matter is removed from the calendar based upon the announcement of a settlement, the contested matter will not be reset for hearing if the parties fail to consummate the s</w:t>
      </w:r>
      <w:r w:rsidR="00686051" w:rsidRPr="004F2CCB">
        <w:rPr>
          <w:rFonts w:ascii="Bookman Old Style" w:hAnsi="Bookman Old Style"/>
          <w:sz w:val="24"/>
          <w:szCs w:val="24"/>
        </w:rPr>
        <w:t>ettlement.  In such event, the C</w:t>
      </w:r>
      <w:r w:rsidRPr="004F2CCB">
        <w:rPr>
          <w:rFonts w:ascii="Bookman Old Style" w:hAnsi="Bookman Old Style"/>
          <w:sz w:val="24"/>
          <w:szCs w:val="24"/>
        </w:rPr>
        <w:t xml:space="preserve">ourt will consider only a motion to enforce the settlement, unless the sole reason the settlement </w:t>
      </w:r>
      <w:r w:rsidR="00686051" w:rsidRPr="004F2CCB">
        <w:rPr>
          <w:rFonts w:ascii="Bookman Old Style" w:hAnsi="Bookman Old Style"/>
          <w:sz w:val="24"/>
          <w:szCs w:val="24"/>
        </w:rPr>
        <w:t>is not consummated is that the C</w:t>
      </w:r>
      <w:r w:rsidRPr="004F2CCB">
        <w:rPr>
          <w:rFonts w:ascii="Bookman Old Style" w:hAnsi="Bookman Old Style"/>
          <w:sz w:val="24"/>
          <w:szCs w:val="24"/>
        </w:rPr>
        <w:t>ourt did not approve the settlement, in which case the matter will be reset for hearing at a later date.</w:t>
      </w:r>
    </w:p>
    <w:p w14:paraId="5529227D" w14:textId="77777777" w:rsidR="00A42C2F" w:rsidRPr="004F2CCB" w:rsidRDefault="00A42C2F" w:rsidP="001B7AEF">
      <w:pPr>
        <w:ind w:left="360" w:hanging="720"/>
        <w:jc w:val="both"/>
        <w:rPr>
          <w:rFonts w:ascii="Bookman Old Style" w:hAnsi="Bookman Old Style"/>
          <w:sz w:val="24"/>
          <w:szCs w:val="24"/>
        </w:rPr>
      </w:pPr>
    </w:p>
    <w:p w14:paraId="72D538E1" w14:textId="085F5CB2"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SANCTIONS</w:t>
      </w:r>
      <w:r w:rsidRPr="004F2CCB">
        <w:rPr>
          <w:rFonts w:ascii="Bookman Old Style" w:hAnsi="Bookman Old Style"/>
          <w:sz w:val="24"/>
          <w:szCs w:val="24"/>
        </w:rPr>
        <w:t>.  Failure to appear at the evidentiary hearing or to comply with any provision of this order may result in appropriate sanctions, including the award of attorney</w:t>
      </w:r>
      <w:r w:rsidR="00A97596" w:rsidRPr="004F2CCB">
        <w:rPr>
          <w:rFonts w:ascii="Bookman Old Style" w:hAnsi="Bookman Old Style"/>
          <w:sz w:val="24"/>
          <w:szCs w:val="24"/>
        </w:rPr>
        <w:t>’</w:t>
      </w:r>
      <w:r w:rsidRPr="004F2CCB">
        <w:rPr>
          <w:rFonts w:ascii="Bookman Old Style" w:hAnsi="Bookman Old Style"/>
          <w:sz w:val="24"/>
          <w:szCs w:val="24"/>
        </w:rPr>
        <w:t xml:space="preserve">s fees, striking of papers, </w:t>
      </w:r>
      <w:r w:rsidR="004541B5" w:rsidRPr="004F2CCB">
        <w:rPr>
          <w:rFonts w:ascii="Bookman Old Style" w:hAnsi="Bookman Old Style"/>
          <w:sz w:val="24"/>
          <w:szCs w:val="24"/>
        </w:rPr>
        <w:t xml:space="preserve">exclusion of exhibits or witnesses, </w:t>
      </w:r>
      <w:r w:rsidRPr="004F2CCB">
        <w:rPr>
          <w:rFonts w:ascii="Bookman Old Style" w:hAnsi="Bookman Old Style"/>
          <w:sz w:val="24"/>
          <w:szCs w:val="24"/>
        </w:rPr>
        <w:t>or the granting or denial of the Motion.</w:t>
      </w:r>
    </w:p>
    <w:p w14:paraId="535E7D75" w14:textId="77777777" w:rsidR="00A42C2F" w:rsidRPr="004F2CCB" w:rsidRDefault="00A42C2F" w:rsidP="001B7AEF">
      <w:pPr>
        <w:ind w:left="360" w:hanging="720"/>
        <w:jc w:val="both"/>
        <w:rPr>
          <w:rFonts w:ascii="Bookman Old Style" w:hAnsi="Bookman Old Style"/>
          <w:sz w:val="24"/>
          <w:szCs w:val="24"/>
        </w:rPr>
      </w:pPr>
    </w:p>
    <w:p w14:paraId="1F76FBB2" w14:textId="2ED2BD25" w:rsidR="0070461D"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CONTINUANCES</w:t>
      </w:r>
      <w:r w:rsidRPr="004F2CCB">
        <w:rPr>
          <w:rFonts w:ascii="Bookman Old Style" w:hAnsi="Bookman Old Style"/>
          <w:sz w:val="24"/>
          <w:szCs w:val="24"/>
        </w:rPr>
        <w:t xml:space="preserve">. </w:t>
      </w:r>
      <w:r w:rsidR="00686051" w:rsidRPr="004F2CCB">
        <w:rPr>
          <w:rFonts w:ascii="Bookman Old Style" w:hAnsi="Bookman Old Style"/>
          <w:sz w:val="24"/>
          <w:szCs w:val="24"/>
        </w:rPr>
        <w:t xml:space="preserve"> </w:t>
      </w:r>
      <w:r w:rsidRPr="004F2CCB">
        <w:rPr>
          <w:rFonts w:ascii="Bookman Old Style" w:hAnsi="Bookman Old Style"/>
          <w:sz w:val="24"/>
          <w:szCs w:val="24"/>
        </w:rPr>
        <w:t xml:space="preserve">Continuances of the evidentiary hearing or any deadlines set forth in this order must be requested by written motion. Any request for continuance or amendment to this order </w:t>
      </w:r>
      <w:r w:rsidR="00A42A9B" w:rsidRPr="004F2CCB">
        <w:rPr>
          <w:rFonts w:ascii="Bookman Old Style" w:hAnsi="Bookman Old Style"/>
          <w:sz w:val="24"/>
          <w:szCs w:val="24"/>
        </w:rPr>
        <w:t xml:space="preserve">must </w:t>
      </w:r>
      <w:r w:rsidRPr="004F2CCB">
        <w:rPr>
          <w:rFonts w:ascii="Bookman Old Style" w:hAnsi="Bookman Old Style"/>
          <w:sz w:val="24"/>
          <w:szCs w:val="24"/>
        </w:rPr>
        <w:t>set forth the status of discovery</w:t>
      </w:r>
      <w:r w:rsidR="00A42A9B" w:rsidRPr="004F2CCB">
        <w:rPr>
          <w:rFonts w:ascii="Bookman Old Style" w:hAnsi="Bookman Old Style"/>
          <w:sz w:val="24"/>
          <w:szCs w:val="24"/>
        </w:rPr>
        <w:t xml:space="preserve">, including exchange of disclosures required under this order, must state the reasons why the party or parties seek a continuance, and must state whether the client and other parties consent to a continuance. The stipulation of all parties is not sufficient grounds, standing alone, for a continuance. </w:t>
      </w:r>
    </w:p>
    <w:p w14:paraId="19600466" w14:textId="77777777" w:rsidR="009C73A9" w:rsidRPr="004F2CCB" w:rsidRDefault="009C73A9" w:rsidP="009C73A9">
      <w:pPr>
        <w:jc w:val="center"/>
        <w:rPr>
          <w:rFonts w:ascii="Bookman Old Style" w:hAnsi="Bookman Old Style"/>
          <w:b/>
          <w:bCs/>
          <w:sz w:val="24"/>
          <w:szCs w:val="24"/>
        </w:rPr>
      </w:pPr>
    </w:p>
    <w:p w14:paraId="6AE7B696" w14:textId="4715F83B" w:rsidR="009C73A9" w:rsidRPr="004F2CCB" w:rsidRDefault="009C73A9" w:rsidP="006C6A98">
      <w:pPr>
        <w:jc w:val="center"/>
        <w:rPr>
          <w:rFonts w:ascii="Bookman Old Style" w:hAnsi="Bookman Old Style"/>
          <w:b/>
          <w:bCs/>
          <w:sz w:val="24"/>
          <w:szCs w:val="24"/>
        </w:rPr>
      </w:pPr>
      <w:r w:rsidRPr="004F2CCB">
        <w:rPr>
          <w:rFonts w:ascii="Bookman Old Style" w:hAnsi="Bookman Old Style"/>
          <w:b/>
          <w:bCs/>
          <w:sz w:val="24"/>
          <w:szCs w:val="24"/>
        </w:rPr>
        <w:t>###</w:t>
      </w:r>
    </w:p>
    <w:p w14:paraId="3C1CA433" w14:textId="30E0C1C8" w:rsidR="00536D88" w:rsidRPr="004F2CCB" w:rsidRDefault="009C73A9" w:rsidP="00536D88">
      <w:pPr>
        <w:jc w:val="both"/>
        <w:rPr>
          <w:rFonts w:ascii="Bookman Old Style" w:hAnsi="Bookman Old Style"/>
          <w:sz w:val="24"/>
          <w:szCs w:val="24"/>
        </w:rPr>
      </w:pPr>
      <w:r w:rsidRPr="004F2CCB">
        <w:rPr>
          <w:rFonts w:ascii="Bookman Old Style" w:hAnsi="Bookman Old Style"/>
          <w:sz w:val="24"/>
          <w:szCs w:val="24"/>
        </w:rPr>
        <w:t>Cop</w:t>
      </w:r>
      <w:r w:rsidR="00536D88" w:rsidRPr="004F2CCB">
        <w:rPr>
          <w:rFonts w:ascii="Bookman Old Style" w:hAnsi="Bookman Old Style"/>
          <w:sz w:val="24"/>
          <w:szCs w:val="24"/>
        </w:rPr>
        <w:t>y</w:t>
      </w:r>
      <w:r w:rsidRPr="004F2CCB">
        <w:rPr>
          <w:rFonts w:ascii="Bookman Old Style" w:hAnsi="Bookman Old Style"/>
          <w:sz w:val="24"/>
          <w:szCs w:val="24"/>
        </w:rPr>
        <w:t xml:space="preserve"> to: </w:t>
      </w:r>
    </w:p>
    <w:p w14:paraId="3AC02C89" w14:textId="1E2817DC" w:rsidR="005B308F" w:rsidRPr="004F2CCB" w:rsidRDefault="004622DD" w:rsidP="00536D88">
      <w:pPr>
        <w:jc w:val="both"/>
        <w:rPr>
          <w:rFonts w:ascii="Bookman Old Style" w:hAnsi="Bookman Old Style"/>
          <w:sz w:val="24"/>
          <w:szCs w:val="24"/>
        </w:rPr>
      </w:pPr>
      <w:r w:rsidRPr="004F2CCB">
        <w:rPr>
          <w:rFonts w:ascii="Bookman Old Style" w:hAnsi="Bookman Old Style"/>
          <w:sz w:val="24"/>
          <w:szCs w:val="24"/>
          <w:highlight w:val="yellow"/>
        </w:rPr>
        <w:t>_________________</w:t>
      </w:r>
      <w:r w:rsidR="004A70B4" w:rsidRPr="004F2CCB">
        <w:rPr>
          <w:rFonts w:ascii="Bookman Old Style" w:hAnsi="Bookman Old Style"/>
          <w:sz w:val="24"/>
          <w:szCs w:val="24"/>
          <w:highlight w:val="yellow"/>
        </w:rPr>
        <w:t>, Esq.</w:t>
      </w:r>
      <w:r w:rsidR="009C73A9" w:rsidRPr="004F2CCB">
        <w:rPr>
          <w:rFonts w:ascii="Bookman Old Style" w:hAnsi="Bookman Old Style"/>
          <w:sz w:val="24"/>
          <w:szCs w:val="24"/>
        </w:rPr>
        <w:tab/>
      </w:r>
      <w:r w:rsidR="009C73A9" w:rsidRPr="004F2CCB">
        <w:rPr>
          <w:rFonts w:ascii="Bookman Old Style" w:hAnsi="Bookman Old Style"/>
          <w:sz w:val="24"/>
          <w:szCs w:val="24"/>
        </w:rPr>
        <w:tab/>
      </w:r>
      <w:r w:rsidR="009C73A9" w:rsidRPr="004F2CCB">
        <w:rPr>
          <w:rFonts w:ascii="Bookman Old Style" w:hAnsi="Bookman Old Style"/>
          <w:sz w:val="24"/>
          <w:szCs w:val="24"/>
        </w:rPr>
        <w:tab/>
      </w:r>
    </w:p>
    <w:p w14:paraId="03280D25" w14:textId="6BE26057" w:rsidR="00A46F37" w:rsidRPr="004F2CCB" w:rsidRDefault="00A46F37" w:rsidP="00536D88">
      <w:pPr>
        <w:jc w:val="both"/>
        <w:rPr>
          <w:rFonts w:ascii="Bookman Old Style" w:hAnsi="Bookman Old Style"/>
          <w:sz w:val="24"/>
          <w:szCs w:val="24"/>
        </w:rPr>
      </w:pPr>
    </w:p>
    <w:p w14:paraId="5C20A01C" w14:textId="77777777" w:rsidR="00A46F37" w:rsidRPr="008D1D14" w:rsidRDefault="00A46F37" w:rsidP="004E3D8D">
      <w:pPr>
        <w:jc w:val="both"/>
        <w:rPr>
          <w:sz w:val="24"/>
          <w:szCs w:val="24"/>
        </w:rPr>
      </w:pPr>
    </w:p>
    <w:sectPr w:rsidR="00A46F37" w:rsidRPr="008D1D14" w:rsidSect="00A46F3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9671" w14:textId="77777777" w:rsidR="001D6550" w:rsidRDefault="001D6550" w:rsidP="00032E33">
      <w:r>
        <w:separator/>
      </w:r>
    </w:p>
  </w:endnote>
  <w:endnote w:type="continuationSeparator" w:id="0">
    <w:p w14:paraId="23542512" w14:textId="77777777" w:rsidR="001D6550" w:rsidRDefault="001D6550"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438450"/>
      <w:docPartObj>
        <w:docPartGallery w:val="Page Numbers (Bottom of Page)"/>
        <w:docPartUnique/>
      </w:docPartObj>
    </w:sdtPr>
    <w:sdtEndPr>
      <w:rPr>
        <w:rStyle w:val="PageNumber"/>
      </w:rPr>
    </w:sdtEndPr>
    <w:sdtContent>
      <w:p w14:paraId="338AA892" w14:textId="4C8D4091" w:rsidR="00385535" w:rsidRDefault="00385535" w:rsidP="00B560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F9241" w14:textId="77777777" w:rsidR="00385535" w:rsidRDefault="0038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rPr>
      <w:id w:val="1206147636"/>
      <w:docPartObj>
        <w:docPartGallery w:val="Page Numbers (Bottom of Page)"/>
        <w:docPartUnique/>
      </w:docPartObj>
    </w:sdtPr>
    <w:sdtEndPr>
      <w:rPr>
        <w:rStyle w:val="PageNumber"/>
      </w:rPr>
    </w:sdtEndPr>
    <w:sdtContent>
      <w:p w14:paraId="03497243" w14:textId="65BB539E" w:rsidR="00385535" w:rsidRPr="004F2CCB" w:rsidRDefault="00385535" w:rsidP="004F2CCB">
        <w:pPr>
          <w:pStyle w:val="Footer"/>
          <w:framePr w:wrap="none" w:vAnchor="text" w:hAnchor="page" w:x="5862" w:y="-20"/>
          <w:rPr>
            <w:rStyle w:val="PageNumber"/>
            <w:rFonts w:ascii="Bookman Old Style" w:hAnsi="Bookman Old Style"/>
          </w:rPr>
        </w:pPr>
        <w:r w:rsidRPr="004F2CCB">
          <w:rPr>
            <w:rStyle w:val="PageNumber"/>
            <w:rFonts w:ascii="Bookman Old Style" w:hAnsi="Bookman Old Style"/>
          </w:rPr>
          <w:t xml:space="preserve">Page </w:t>
        </w:r>
        <w:r w:rsidRPr="004F2CCB">
          <w:rPr>
            <w:rStyle w:val="PageNumber"/>
            <w:rFonts w:ascii="Bookman Old Style" w:hAnsi="Bookman Old Style"/>
          </w:rPr>
          <w:fldChar w:fldCharType="begin"/>
        </w:r>
        <w:r w:rsidRPr="004F2CCB">
          <w:rPr>
            <w:rStyle w:val="PageNumber"/>
            <w:rFonts w:ascii="Bookman Old Style" w:hAnsi="Bookman Old Style"/>
          </w:rPr>
          <w:instrText xml:space="preserve"> PAGE </w:instrText>
        </w:r>
        <w:r w:rsidRPr="004F2CCB">
          <w:rPr>
            <w:rStyle w:val="PageNumber"/>
            <w:rFonts w:ascii="Bookman Old Style" w:hAnsi="Bookman Old Style"/>
          </w:rPr>
          <w:fldChar w:fldCharType="separate"/>
        </w:r>
        <w:r w:rsidRPr="004F2CCB">
          <w:rPr>
            <w:rStyle w:val="PageNumber"/>
            <w:rFonts w:ascii="Bookman Old Style" w:hAnsi="Bookman Old Style"/>
            <w:noProof/>
          </w:rPr>
          <w:t>5</w:t>
        </w:r>
        <w:r w:rsidRPr="004F2CCB">
          <w:rPr>
            <w:rStyle w:val="PageNumber"/>
            <w:rFonts w:ascii="Bookman Old Style" w:hAnsi="Bookman Old Style"/>
          </w:rPr>
          <w:fldChar w:fldCharType="end"/>
        </w:r>
      </w:p>
    </w:sdtContent>
  </w:sdt>
  <w:p w14:paraId="45F83C5B" w14:textId="77777777" w:rsidR="00032E33" w:rsidRDefault="00032E33" w:rsidP="004E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5F45" w14:textId="77777777" w:rsidR="001D6550" w:rsidRDefault="001D6550" w:rsidP="00032E33">
      <w:r>
        <w:separator/>
      </w:r>
    </w:p>
  </w:footnote>
  <w:footnote w:type="continuationSeparator" w:id="0">
    <w:p w14:paraId="21DB8010" w14:textId="77777777" w:rsidR="001D6550" w:rsidRDefault="001D6550"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5" w15:restartNumberingAfterBreak="0">
    <w:nsid w:val="2E122B39"/>
    <w:multiLevelType w:val="hybridMultilevel"/>
    <w:tmpl w:val="CD0CC744"/>
    <w:lvl w:ilvl="0" w:tplc="12408C3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3283404"/>
    <w:multiLevelType w:val="hybridMultilevel"/>
    <w:tmpl w:val="1C52D584"/>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A3AF7"/>
    <w:multiLevelType w:val="hybridMultilevel"/>
    <w:tmpl w:val="911E91E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F7797"/>
    <w:multiLevelType w:val="hybridMultilevel"/>
    <w:tmpl w:val="911C7FF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36708"/>
    <w:multiLevelType w:val="hybridMultilevel"/>
    <w:tmpl w:val="EEB2EC92"/>
    <w:lvl w:ilvl="0" w:tplc="1B608556">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017FD1"/>
    <w:multiLevelType w:val="hybridMultilevel"/>
    <w:tmpl w:val="34C61E88"/>
    <w:lvl w:ilvl="0" w:tplc="33B87F0A">
      <w:start w:val="1"/>
      <w:numFmt w:val="decimal"/>
      <w:lvlText w:val="%1."/>
      <w:lvlJc w:val="left"/>
      <w:pPr>
        <w:ind w:left="1440" w:hanging="1080"/>
      </w:pPr>
      <w:rPr>
        <w:rFonts w:hint="default"/>
      </w:rPr>
    </w:lvl>
    <w:lvl w:ilvl="1" w:tplc="976A3CE0">
      <w:start w:val="1"/>
      <w:numFmt w:val="upp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19722354">
    <w:abstractNumId w:val="0"/>
  </w:num>
  <w:num w:numId="2" w16cid:durableId="1278878129">
    <w:abstractNumId w:val="1"/>
  </w:num>
  <w:num w:numId="3" w16cid:durableId="400062133">
    <w:abstractNumId w:val="12"/>
  </w:num>
  <w:num w:numId="4" w16cid:durableId="1291012509">
    <w:abstractNumId w:val="11"/>
  </w:num>
  <w:num w:numId="5" w16cid:durableId="676232679">
    <w:abstractNumId w:val="3"/>
  </w:num>
  <w:num w:numId="6" w16cid:durableId="2050761414">
    <w:abstractNumId w:val="2"/>
  </w:num>
  <w:num w:numId="7" w16cid:durableId="2011907620">
    <w:abstractNumId w:val="8"/>
  </w:num>
  <w:num w:numId="8" w16cid:durableId="1781098474">
    <w:abstractNumId w:val="4"/>
  </w:num>
  <w:num w:numId="9" w16cid:durableId="1698971107">
    <w:abstractNumId w:val="10"/>
  </w:num>
  <w:num w:numId="10" w16cid:durableId="1394621451">
    <w:abstractNumId w:val="6"/>
  </w:num>
  <w:num w:numId="11" w16cid:durableId="1192525141">
    <w:abstractNumId w:val="7"/>
  </w:num>
  <w:num w:numId="12" w16cid:durableId="601107867">
    <w:abstractNumId w:val="9"/>
  </w:num>
  <w:num w:numId="13" w16cid:durableId="266546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A5"/>
    <w:rsid w:val="00000913"/>
    <w:rsid w:val="00005CCA"/>
    <w:rsid w:val="0000738C"/>
    <w:rsid w:val="00021ED4"/>
    <w:rsid w:val="00024EB4"/>
    <w:rsid w:val="00027E7C"/>
    <w:rsid w:val="00032304"/>
    <w:rsid w:val="00032E33"/>
    <w:rsid w:val="000418BC"/>
    <w:rsid w:val="00041D5B"/>
    <w:rsid w:val="00042527"/>
    <w:rsid w:val="00051937"/>
    <w:rsid w:val="00052303"/>
    <w:rsid w:val="000636C1"/>
    <w:rsid w:val="000663B8"/>
    <w:rsid w:val="000727C2"/>
    <w:rsid w:val="00072F6A"/>
    <w:rsid w:val="000734C9"/>
    <w:rsid w:val="00073934"/>
    <w:rsid w:val="00077026"/>
    <w:rsid w:val="0008120D"/>
    <w:rsid w:val="000839DE"/>
    <w:rsid w:val="00090276"/>
    <w:rsid w:val="00092E2C"/>
    <w:rsid w:val="0009411B"/>
    <w:rsid w:val="000A24D8"/>
    <w:rsid w:val="000A6334"/>
    <w:rsid w:val="000B3394"/>
    <w:rsid w:val="000C5EFE"/>
    <w:rsid w:val="000D0461"/>
    <w:rsid w:val="000D4C90"/>
    <w:rsid w:val="000D6C5D"/>
    <w:rsid w:val="000D6F9F"/>
    <w:rsid w:val="000E5E0A"/>
    <w:rsid w:val="000F5257"/>
    <w:rsid w:val="00104121"/>
    <w:rsid w:val="00112A1D"/>
    <w:rsid w:val="001311C7"/>
    <w:rsid w:val="00131823"/>
    <w:rsid w:val="0013681E"/>
    <w:rsid w:val="00150CD9"/>
    <w:rsid w:val="00152FFA"/>
    <w:rsid w:val="00153990"/>
    <w:rsid w:val="00161C84"/>
    <w:rsid w:val="001641EA"/>
    <w:rsid w:val="00171FF5"/>
    <w:rsid w:val="00172048"/>
    <w:rsid w:val="00174988"/>
    <w:rsid w:val="00197179"/>
    <w:rsid w:val="0019757F"/>
    <w:rsid w:val="001A0812"/>
    <w:rsid w:val="001B025C"/>
    <w:rsid w:val="001B4E6F"/>
    <w:rsid w:val="001B5A50"/>
    <w:rsid w:val="001B7AEF"/>
    <w:rsid w:val="001D6550"/>
    <w:rsid w:val="001F2399"/>
    <w:rsid w:val="002076DB"/>
    <w:rsid w:val="002338D7"/>
    <w:rsid w:val="002446AC"/>
    <w:rsid w:val="00246F3B"/>
    <w:rsid w:val="00253FE1"/>
    <w:rsid w:val="00260320"/>
    <w:rsid w:val="00267BF6"/>
    <w:rsid w:val="0027626A"/>
    <w:rsid w:val="0029555C"/>
    <w:rsid w:val="002A2B47"/>
    <w:rsid w:val="002A5074"/>
    <w:rsid w:val="002A76AF"/>
    <w:rsid w:val="002A7DEF"/>
    <w:rsid w:val="002B48F2"/>
    <w:rsid w:val="002C5526"/>
    <w:rsid w:val="002C6FED"/>
    <w:rsid w:val="002D3B2B"/>
    <w:rsid w:val="002D3E62"/>
    <w:rsid w:val="002E357C"/>
    <w:rsid w:val="002F22B7"/>
    <w:rsid w:val="002F3462"/>
    <w:rsid w:val="002F6F84"/>
    <w:rsid w:val="003053F9"/>
    <w:rsid w:val="00305C93"/>
    <w:rsid w:val="00316007"/>
    <w:rsid w:val="00321DC8"/>
    <w:rsid w:val="003225DB"/>
    <w:rsid w:val="003237A0"/>
    <w:rsid w:val="0032671B"/>
    <w:rsid w:val="0033060D"/>
    <w:rsid w:val="00342DCA"/>
    <w:rsid w:val="00347B97"/>
    <w:rsid w:val="00355073"/>
    <w:rsid w:val="00374823"/>
    <w:rsid w:val="00385535"/>
    <w:rsid w:val="003874A5"/>
    <w:rsid w:val="00392EB2"/>
    <w:rsid w:val="003B0BEC"/>
    <w:rsid w:val="003C4517"/>
    <w:rsid w:val="003E257C"/>
    <w:rsid w:val="003E3D9C"/>
    <w:rsid w:val="003E3F10"/>
    <w:rsid w:val="003E78AB"/>
    <w:rsid w:val="003F2FEC"/>
    <w:rsid w:val="003F51EB"/>
    <w:rsid w:val="003F6824"/>
    <w:rsid w:val="004009DF"/>
    <w:rsid w:val="00407DD6"/>
    <w:rsid w:val="00415424"/>
    <w:rsid w:val="00415BB4"/>
    <w:rsid w:val="0042418D"/>
    <w:rsid w:val="00425F6F"/>
    <w:rsid w:val="00426421"/>
    <w:rsid w:val="00437834"/>
    <w:rsid w:val="004541B5"/>
    <w:rsid w:val="004622DD"/>
    <w:rsid w:val="0046579A"/>
    <w:rsid w:val="00465F5A"/>
    <w:rsid w:val="00467E7F"/>
    <w:rsid w:val="004717AC"/>
    <w:rsid w:val="0047244B"/>
    <w:rsid w:val="00482019"/>
    <w:rsid w:val="0048626A"/>
    <w:rsid w:val="00486605"/>
    <w:rsid w:val="00494F68"/>
    <w:rsid w:val="004A5FE5"/>
    <w:rsid w:val="004A70B4"/>
    <w:rsid w:val="004B0DAE"/>
    <w:rsid w:val="004B312E"/>
    <w:rsid w:val="004B64C1"/>
    <w:rsid w:val="004C04BF"/>
    <w:rsid w:val="004C5658"/>
    <w:rsid w:val="004C620C"/>
    <w:rsid w:val="004D5E59"/>
    <w:rsid w:val="004E2CD1"/>
    <w:rsid w:val="004E3D8D"/>
    <w:rsid w:val="004E4FAA"/>
    <w:rsid w:val="004E7DEA"/>
    <w:rsid w:val="004F2CCB"/>
    <w:rsid w:val="005015B0"/>
    <w:rsid w:val="0050369F"/>
    <w:rsid w:val="00507064"/>
    <w:rsid w:val="00510645"/>
    <w:rsid w:val="00514500"/>
    <w:rsid w:val="005335F8"/>
    <w:rsid w:val="00536D88"/>
    <w:rsid w:val="00540C4F"/>
    <w:rsid w:val="005615FC"/>
    <w:rsid w:val="005752E7"/>
    <w:rsid w:val="005A0C38"/>
    <w:rsid w:val="005A442F"/>
    <w:rsid w:val="005B308F"/>
    <w:rsid w:val="005B337A"/>
    <w:rsid w:val="005B5F44"/>
    <w:rsid w:val="005C062A"/>
    <w:rsid w:val="005C5647"/>
    <w:rsid w:val="005D01A4"/>
    <w:rsid w:val="005D258D"/>
    <w:rsid w:val="005D3717"/>
    <w:rsid w:val="005F5CF3"/>
    <w:rsid w:val="005F650F"/>
    <w:rsid w:val="005F73EE"/>
    <w:rsid w:val="0060183D"/>
    <w:rsid w:val="0060269C"/>
    <w:rsid w:val="00605579"/>
    <w:rsid w:val="006151A8"/>
    <w:rsid w:val="00630ADA"/>
    <w:rsid w:val="00633383"/>
    <w:rsid w:val="0063622A"/>
    <w:rsid w:val="0064469C"/>
    <w:rsid w:val="006542FD"/>
    <w:rsid w:val="00661287"/>
    <w:rsid w:val="0066498C"/>
    <w:rsid w:val="00666690"/>
    <w:rsid w:val="006670A3"/>
    <w:rsid w:val="006701B7"/>
    <w:rsid w:val="0067106C"/>
    <w:rsid w:val="00680562"/>
    <w:rsid w:val="00685BD5"/>
    <w:rsid w:val="00686051"/>
    <w:rsid w:val="00692C5D"/>
    <w:rsid w:val="00696168"/>
    <w:rsid w:val="006A46FE"/>
    <w:rsid w:val="006C39A5"/>
    <w:rsid w:val="006C41DA"/>
    <w:rsid w:val="006C6A98"/>
    <w:rsid w:val="006D0DDF"/>
    <w:rsid w:val="006D100A"/>
    <w:rsid w:val="006D6B6A"/>
    <w:rsid w:val="006F1C89"/>
    <w:rsid w:val="006F38A0"/>
    <w:rsid w:val="006F417A"/>
    <w:rsid w:val="006F73FC"/>
    <w:rsid w:val="0070206B"/>
    <w:rsid w:val="0070461D"/>
    <w:rsid w:val="007128E6"/>
    <w:rsid w:val="007214CC"/>
    <w:rsid w:val="00724923"/>
    <w:rsid w:val="0073136D"/>
    <w:rsid w:val="007432CA"/>
    <w:rsid w:val="00744B4D"/>
    <w:rsid w:val="00745141"/>
    <w:rsid w:val="00751363"/>
    <w:rsid w:val="0076114F"/>
    <w:rsid w:val="0076319C"/>
    <w:rsid w:val="0078385E"/>
    <w:rsid w:val="00783D11"/>
    <w:rsid w:val="00790790"/>
    <w:rsid w:val="007914BA"/>
    <w:rsid w:val="00793A6B"/>
    <w:rsid w:val="007A74D0"/>
    <w:rsid w:val="007C0357"/>
    <w:rsid w:val="007C12BA"/>
    <w:rsid w:val="007D45C4"/>
    <w:rsid w:val="007D4CC9"/>
    <w:rsid w:val="007E0DF9"/>
    <w:rsid w:val="007E22C4"/>
    <w:rsid w:val="007E3643"/>
    <w:rsid w:val="007F33D2"/>
    <w:rsid w:val="007F3D4B"/>
    <w:rsid w:val="007F6B63"/>
    <w:rsid w:val="007F7F7C"/>
    <w:rsid w:val="00803C72"/>
    <w:rsid w:val="00816C8E"/>
    <w:rsid w:val="008209CD"/>
    <w:rsid w:val="00824FD0"/>
    <w:rsid w:val="008272DA"/>
    <w:rsid w:val="0084078C"/>
    <w:rsid w:val="00841835"/>
    <w:rsid w:val="008463F6"/>
    <w:rsid w:val="00846D99"/>
    <w:rsid w:val="008540C3"/>
    <w:rsid w:val="008652AB"/>
    <w:rsid w:val="00875909"/>
    <w:rsid w:val="00882906"/>
    <w:rsid w:val="0089685B"/>
    <w:rsid w:val="008A13EE"/>
    <w:rsid w:val="008B3BFC"/>
    <w:rsid w:val="008B587C"/>
    <w:rsid w:val="008B63B3"/>
    <w:rsid w:val="008C0A34"/>
    <w:rsid w:val="008D1D14"/>
    <w:rsid w:val="008D2A1E"/>
    <w:rsid w:val="008D7234"/>
    <w:rsid w:val="008E32DB"/>
    <w:rsid w:val="0090654E"/>
    <w:rsid w:val="00914FDB"/>
    <w:rsid w:val="00920A0E"/>
    <w:rsid w:val="00926899"/>
    <w:rsid w:val="00934E96"/>
    <w:rsid w:val="00941FD8"/>
    <w:rsid w:val="0095417C"/>
    <w:rsid w:val="009549AD"/>
    <w:rsid w:val="00964830"/>
    <w:rsid w:val="00990247"/>
    <w:rsid w:val="00991225"/>
    <w:rsid w:val="009956ED"/>
    <w:rsid w:val="00997056"/>
    <w:rsid w:val="009A61DD"/>
    <w:rsid w:val="009A6226"/>
    <w:rsid w:val="009B333D"/>
    <w:rsid w:val="009B3EBF"/>
    <w:rsid w:val="009B65ED"/>
    <w:rsid w:val="009C2EEB"/>
    <w:rsid w:val="009C73A9"/>
    <w:rsid w:val="009D3F19"/>
    <w:rsid w:val="009D4C13"/>
    <w:rsid w:val="009E247F"/>
    <w:rsid w:val="00A0492E"/>
    <w:rsid w:val="00A15C78"/>
    <w:rsid w:val="00A2333B"/>
    <w:rsid w:val="00A233E9"/>
    <w:rsid w:val="00A32512"/>
    <w:rsid w:val="00A42A9B"/>
    <w:rsid w:val="00A42C2F"/>
    <w:rsid w:val="00A43E2A"/>
    <w:rsid w:val="00A456AB"/>
    <w:rsid w:val="00A46F37"/>
    <w:rsid w:val="00A52A8D"/>
    <w:rsid w:val="00A8165A"/>
    <w:rsid w:val="00A85D4B"/>
    <w:rsid w:val="00A96828"/>
    <w:rsid w:val="00A970D9"/>
    <w:rsid w:val="00A97596"/>
    <w:rsid w:val="00AA6B50"/>
    <w:rsid w:val="00AB4AB7"/>
    <w:rsid w:val="00AB6894"/>
    <w:rsid w:val="00AC12B9"/>
    <w:rsid w:val="00AC7105"/>
    <w:rsid w:val="00AD28CB"/>
    <w:rsid w:val="00AD6F36"/>
    <w:rsid w:val="00AE15B5"/>
    <w:rsid w:val="00AE2786"/>
    <w:rsid w:val="00AF11F4"/>
    <w:rsid w:val="00AF2031"/>
    <w:rsid w:val="00AF4916"/>
    <w:rsid w:val="00AF523E"/>
    <w:rsid w:val="00B03F6B"/>
    <w:rsid w:val="00B064E6"/>
    <w:rsid w:val="00B153BB"/>
    <w:rsid w:val="00B32A3A"/>
    <w:rsid w:val="00B443EE"/>
    <w:rsid w:val="00B56081"/>
    <w:rsid w:val="00B76FFF"/>
    <w:rsid w:val="00B82C5C"/>
    <w:rsid w:val="00B84F0F"/>
    <w:rsid w:val="00B92274"/>
    <w:rsid w:val="00B95F58"/>
    <w:rsid w:val="00B96776"/>
    <w:rsid w:val="00BA1E34"/>
    <w:rsid w:val="00BA21C6"/>
    <w:rsid w:val="00BA31F1"/>
    <w:rsid w:val="00BA5B64"/>
    <w:rsid w:val="00BA657B"/>
    <w:rsid w:val="00BA68BD"/>
    <w:rsid w:val="00BC3D31"/>
    <w:rsid w:val="00BC766C"/>
    <w:rsid w:val="00BD15BB"/>
    <w:rsid w:val="00BE26B6"/>
    <w:rsid w:val="00BE4CB5"/>
    <w:rsid w:val="00BF6780"/>
    <w:rsid w:val="00BF6D0B"/>
    <w:rsid w:val="00C046A5"/>
    <w:rsid w:val="00C10683"/>
    <w:rsid w:val="00C12508"/>
    <w:rsid w:val="00C13E07"/>
    <w:rsid w:val="00C149BD"/>
    <w:rsid w:val="00C164CA"/>
    <w:rsid w:val="00C2761E"/>
    <w:rsid w:val="00C30235"/>
    <w:rsid w:val="00C34B34"/>
    <w:rsid w:val="00C41A85"/>
    <w:rsid w:val="00C535E4"/>
    <w:rsid w:val="00C54CF7"/>
    <w:rsid w:val="00C57514"/>
    <w:rsid w:val="00C63683"/>
    <w:rsid w:val="00C702CC"/>
    <w:rsid w:val="00C730D7"/>
    <w:rsid w:val="00C74252"/>
    <w:rsid w:val="00C77B19"/>
    <w:rsid w:val="00C802DB"/>
    <w:rsid w:val="00C80C0E"/>
    <w:rsid w:val="00C92B97"/>
    <w:rsid w:val="00CA6793"/>
    <w:rsid w:val="00CA78DA"/>
    <w:rsid w:val="00CD5DC7"/>
    <w:rsid w:val="00CF09E5"/>
    <w:rsid w:val="00CF1091"/>
    <w:rsid w:val="00CF3EB3"/>
    <w:rsid w:val="00CF569E"/>
    <w:rsid w:val="00D0163F"/>
    <w:rsid w:val="00D03C4E"/>
    <w:rsid w:val="00D177C7"/>
    <w:rsid w:val="00D2340C"/>
    <w:rsid w:val="00D309FE"/>
    <w:rsid w:val="00D313D1"/>
    <w:rsid w:val="00D3522C"/>
    <w:rsid w:val="00D402BF"/>
    <w:rsid w:val="00D522D1"/>
    <w:rsid w:val="00D52475"/>
    <w:rsid w:val="00D672B7"/>
    <w:rsid w:val="00D71E3A"/>
    <w:rsid w:val="00D77F2C"/>
    <w:rsid w:val="00D84C74"/>
    <w:rsid w:val="00D864D3"/>
    <w:rsid w:val="00D86559"/>
    <w:rsid w:val="00D868B1"/>
    <w:rsid w:val="00D97C6B"/>
    <w:rsid w:val="00DB0FC5"/>
    <w:rsid w:val="00DB6684"/>
    <w:rsid w:val="00DB7D74"/>
    <w:rsid w:val="00DC4D7D"/>
    <w:rsid w:val="00DC5F30"/>
    <w:rsid w:val="00DC7521"/>
    <w:rsid w:val="00DD1B61"/>
    <w:rsid w:val="00DD684D"/>
    <w:rsid w:val="00DE18AF"/>
    <w:rsid w:val="00DE7829"/>
    <w:rsid w:val="00DF135A"/>
    <w:rsid w:val="00DF5E8E"/>
    <w:rsid w:val="00E01121"/>
    <w:rsid w:val="00E0534A"/>
    <w:rsid w:val="00E05D55"/>
    <w:rsid w:val="00E1689C"/>
    <w:rsid w:val="00E20BFC"/>
    <w:rsid w:val="00E2580F"/>
    <w:rsid w:val="00E31FE3"/>
    <w:rsid w:val="00E3244A"/>
    <w:rsid w:val="00E42762"/>
    <w:rsid w:val="00E5155A"/>
    <w:rsid w:val="00E51DD5"/>
    <w:rsid w:val="00E5678E"/>
    <w:rsid w:val="00E60ACA"/>
    <w:rsid w:val="00E60E79"/>
    <w:rsid w:val="00E61841"/>
    <w:rsid w:val="00E74376"/>
    <w:rsid w:val="00E8416D"/>
    <w:rsid w:val="00E90E7F"/>
    <w:rsid w:val="00E90F70"/>
    <w:rsid w:val="00E952BF"/>
    <w:rsid w:val="00E967C4"/>
    <w:rsid w:val="00EA1D78"/>
    <w:rsid w:val="00EA6887"/>
    <w:rsid w:val="00EC23E4"/>
    <w:rsid w:val="00ED687B"/>
    <w:rsid w:val="00EE3044"/>
    <w:rsid w:val="00EF718A"/>
    <w:rsid w:val="00F12CBE"/>
    <w:rsid w:val="00F12EA9"/>
    <w:rsid w:val="00F22656"/>
    <w:rsid w:val="00F45C00"/>
    <w:rsid w:val="00F82F56"/>
    <w:rsid w:val="00FA1016"/>
    <w:rsid w:val="00FA66F6"/>
    <w:rsid w:val="00FA70AD"/>
    <w:rsid w:val="00FA7866"/>
    <w:rsid w:val="00FB4981"/>
    <w:rsid w:val="00FB5E3D"/>
    <w:rsid w:val="00FC1C2A"/>
    <w:rsid w:val="00FD47C9"/>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5294D5"/>
  <w15:docId w15:val="{76B092A2-4885-7D4F-A516-47C1C26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styleId="NoSpacing">
    <w:name w:val="No Spacing"/>
    <w:uiPriority w:val="1"/>
    <w:qFormat/>
    <w:rsid w:val="00024EB4"/>
    <w:pPr>
      <w:spacing w:after="0" w:line="240" w:lineRule="auto"/>
    </w:pPr>
    <w:rPr>
      <w:rFonts w:ascii="Calibri" w:eastAsia="Times New Roman" w:hAnsi="Calibri" w:cs="Times New Roman"/>
      <w:lang w:val="es-US" w:eastAsia="es-US"/>
    </w:rPr>
  </w:style>
  <w:style w:type="table" w:styleId="TableGrid">
    <w:name w:val="Table Grid"/>
    <w:basedOn w:val="TableNormal"/>
    <w:uiPriority w:val="59"/>
    <w:rsid w:val="00024E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
    <w:name w:val="Style9"/>
    <w:basedOn w:val="DefaultParagraphFont"/>
    <w:uiPriority w:val="1"/>
    <w:rsid w:val="00024EB4"/>
    <w:rPr>
      <w:b/>
      <w:sz w:val="28"/>
    </w:rPr>
  </w:style>
  <w:style w:type="character" w:customStyle="1" w:styleId="Style10">
    <w:name w:val="Style10"/>
    <w:basedOn w:val="DefaultParagraphFont"/>
    <w:uiPriority w:val="1"/>
    <w:rsid w:val="00024EB4"/>
    <w:rPr>
      <w:b/>
      <w:sz w:val="28"/>
    </w:rPr>
  </w:style>
  <w:style w:type="character" w:customStyle="1" w:styleId="Style11">
    <w:name w:val="Style11"/>
    <w:basedOn w:val="DefaultParagraphFont"/>
    <w:uiPriority w:val="1"/>
    <w:rsid w:val="00024EB4"/>
    <w:rPr>
      <w:b/>
      <w:sz w:val="28"/>
    </w:rPr>
  </w:style>
  <w:style w:type="character" w:styleId="FollowedHyperlink">
    <w:name w:val="FollowedHyperlink"/>
    <w:basedOn w:val="DefaultParagraphFont"/>
    <w:uiPriority w:val="99"/>
    <w:semiHidden/>
    <w:unhideWhenUsed/>
    <w:rsid w:val="00024EB4"/>
    <w:rPr>
      <w:color w:val="800080" w:themeColor="followedHyperlink"/>
      <w:u w:val="single"/>
    </w:rPr>
  </w:style>
  <w:style w:type="character" w:styleId="PageNumber">
    <w:name w:val="page number"/>
    <w:basedOn w:val="DefaultParagraphFont"/>
    <w:uiPriority w:val="99"/>
    <w:semiHidden/>
    <w:unhideWhenUsed/>
    <w:rsid w:val="0038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0436">
      <w:bodyDiv w:val="1"/>
      <w:marLeft w:val="0"/>
      <w:marRight w:val="0"/>
      <w:marTop w:val="0"/>
      <w:marBottom w:val="0"/>
      <w:divBdr>
        <w:top w:val="none" w:sz="0" w:space="0" w:color="auto"/>
        <w:left w:val="none" w:sz="0" w:space="0" w:color="auto"/>
        <w:bottom w:val="none" w:sz="0" w:space="0" w:color="auto"/>
        <w:right w:val="none" w:sz="0" w:space="0" w:color="auto"/>
      </w:divBdr>
    </w:div>
    <w:div w:id="1603148093">
      <w:bodyDiv w:val="1"/>
      <w:marLeft w:val="0"/>
      <w:marRight w:val="0"/>
      <w:marTop w:val="0"/>
      <w:marBottom w:val="0"/>
      <w:divBdr>
        <w:top w:val="none" w:sz="0" w:space="0" w:color="auto"/>
        <w:left w:val="none" w:sz="0" w:space="0" w:color="auto"/>
        <w:bottom w:val="none" w:sz="0" w:space="0" w:color="auto"/>
        <w:right w:val="none" w:sz="0" w:space="0" w:color="auto"/>
      </w:divBdr>
    </w:div>
    <w:div w:id="174852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meeting/register/vJItfuqurDsoEnWyiKeoSfMa3m888k3mfB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SBml_IT_Services@fls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41F5-CC3E-B340-BC20-BC8B5F0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1914</Words>
  <Characters>12274</Characters>
  <Application>Microsoft Office Word</Application>
  <DocSecurity>4</DocSecurity>
  <Lines>454</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Dania Muniz</cp:lastModifiedBy>
  <cp:revision>2</cp:revision>
  <cp:lastPrinted>2015-04-03T13:52:00Z</cp:lastPrinted>
  <dcterms:created xsi:type="dcterms:W3CDTF">2023-04-19T18:34:00Z</dcterms:created>
  <dcterms:modified xsi:type="dcterms:W3CDTF">2023-04-19T18:34:00Z</dcterms:modified>
</cp:coreProperties>
</file>